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28" w:rsidRDefault="00200EBB" w:rsidP="00200EBB">
      <w:pPr>
        <w:jc w:val="center"/>
        <w:rPr>
          <w:b/>
          <w:sz w:val="28"/>
        </w:rPr>
      </w:pPr>
      <w:bookmarkStart w:id="0" w:name="_GoBack"/>
      <w:bookmarkEnd w:id="0"/>
      <w:r w:rsidRPr="002D2CB7">
        <w:rPr>
          <w:b/>
          <w:sz w:val="28"/>
        </w:rPr>
        <w:t>The Department of Earth and Environmental Sciences</w:t>
      </w:r>
      <w:r w:rsidR="00D81328">
        <w:rPr>
          <w:b/>
          <w:sz w:val="28"/>
        </w:rPr>
        <w:t>, ASI, and Fresno State AAPG Student Chapter</w:t>
      </w:r>
      <w:r w:rsidRPr="002D2CB7">
        <w:rPr>
          <w:b/>
          <w:sz w:val="28"/>
        </w:rPr>
        <w:t xml:space="preserve"> presents:</w:t>
      </w:r>
    </w:p>
    <w:p w:rsidR="001466B4" w:rsidRDefault="00D81328" w:rsidP="00200EBB">
      <w:pPr>
        <w:jc w:val="center"/>
        <w:rPr>
          <w:color w:val="984806" w:themeColor="accent6" w:themeShade="80"/>
          <w:sz w:val="36"/>
        </w:rPr>
      </w:pPr>
      <w:r w:rsidRPr="00D81328">
        <w:rPr>
          <w:b/>
          <w:color w:val="4F6228" w:themeColor="accent3" w:themeShade="80"/>
          <w:sz w:val="28"/>
        </w:rPr>
        <w:t>AAPG Distinguished Lecturer</w:t>
      </w:r>
      <w:r w:rsidR="00200EBB">
        <w:br/>
      </w:r>
      <w:r w:rsidR="001466B4" w:rsidRPr="00E27B74">
        <w:rPr>
          <w:color w:val="984806" w:themeColor="accent6" w:themeShade="80"/>
          <w:sz w:val="44"/>
        </w:rPr>
        <w:t xml:space="preserve">Dr. </w:t>
      </w:r>
      <w:r w:rsidR="00200EBB" w:rsidRPr="00E27B74">
        <w:rPr>
          <w:color w:val="984806" w:themeColor="accent6" w:themeShade="80"/>
          <w:sz w:val="44"/>
        </w:rPr>
        <w:t xml:space="preserve">Kathleen M. </w:t>
      </w:r>
      <w:proofErr w:type="spellStart"/>
      <w:r w:rsidR="00200EBB" w:rsidRPr="00E27B74">
        <w:rPr>
          <w:color w:val="984806" w:themeColor="accent6" w:themeShade="80"/>
          <w:sz w:val="44"/>
        </w:rPr>
        <w:t>Marsaglia</w:t>
      </w:r>
      <w:proofErr w:type="spellEnd"/>
    </w:p>
    <w:p w:rsidR="008D2E49" w:rsidRDefault="001466B4" w:rsidP="00200EBB">
      <w:pPr>
        <w:jc w:val="center"/>
        <w:rPr>
          <w:rFonts w:ascii="Arial" w:hAnsi="Arial" w:cs="Arial"/>
          <w:color w:val="000000"/>
          <w:sz w:val="18"/>
          <w:szCs w:val="19"/>
          <w:shd w:val="clear" w:color="auto" w:fill="FFFFFF"/>
        </w:rPr>
      </w:pPr>
      <w:r w:rsidRPr="002D2CB7">
        <w:rPr>
          <w:rFonts w:ascii="Arial" w:hAnsi="Arial" w:cs="Arial"/>
          <w:color w:val="000000"/>
          <w:sz w:val="18"/>
          <w:szCs w:val="19"/>
          <w:shd w:val="clear" w:color="auto" w:fill="FFFFFF"/>
        </w:rPr>
        <w:t>Professor in the Department of Geological Sciences, California State University Northridge (CSUN)</w:t>
      </w:r>
    </w:p>
    <w:p w:rsidR="00D81328" w:rsidRPr="001D4428" w:rsidRDefault="001D4428" w:rsidP="00D81328">
      <w:pPr>
        <w:shd w:val="clear" w:color="auto" w:fill="FFFFFF"/>
        <w:spacing w:before="100" w:beforeAutospacing="1" w:after="100" w:afterAutospacing="1" w:line="240" w:lineRule="auto"/>
        <w:outlineLvl w:val="3"/>
        <w:rPr>
          <w:rFonts w:ascii="Verdana" w:eastAsia="Times New Roman" w:hAnsi="Verdana" w:cs="Times New Roman"/>
          <w:b/>
          <w:bCs/>
          <w:color w:val="D58900"/>
          <w:szCs w:val="19"/>
        </w:rPr>
      </w:pPr>
      <w:r>
        <w:rPr>
          <w:rFonts w:ascii="Verdana" w:eastAsia="Times New Roman" w:hAnsi="Verdana" w:cs="Times New Roman"/>
          <w:b/>
          <w:bCs/>
          <w:noProof/>
          <w:color w:val="D58900"/>
          <w:szCs w:val="19"/>
        </w:rPr>
        <w:drawing>
          <wp:anchor distT="0" distB="0" distL="114300" distR="114300" simplePos="0" relativeHeight="251658240" behindDoc="0" locked="0" layoutInCell="1" allowOverlap="0">
            <wp:simplePos x="0" y="0"/>
            <wp:positionH relativeFrom="column">
              <wp:posOffset>3112770</wp:posOffset>
            </wp:positionH>
            <wp:positionV relativeFrom="paragraph">
              <wp:posOffset>567055</wp:posOffset>
            </wp:positionV>
            <wp:extent cx="1413510" cy="1463040"/>
            <wp:effectExtent l="19050" t="0" r="0" b="0"/>
            <wp:wrapThrough wrapText="bothSides">
              <wp:wrapPolygon edited="0">
                <wp:start x="-291" y="0"/>
                <wp:lineTo x="-291" y="21375"/>
                <wp:lineTo x="21542" y="21375"/>
                <wp:lineTo x="21542" y="0"/>
                <wp:lineTo x="-291" y="0"/>
              </wp:wrapPolygon>
            </wp:wrapThrough>
            <wp:docPr id="15" name="Picture 7" descr="Image of Professor Marsa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Professor Marsaglia"/>
                    <pic:cNvPicPr>
                      <a:picLocks noChangeAspect="1" noChangeArrowheads="1"/>
                    </pic:cNvPicPr>
                  </pic:nvPicPr>
                  <pic:blipFill>
                    <a:blip r:embed="rId6"/>
                    <a:srcRect/>
                    <a:stretch>
                      <a:fillRect/>
                    </a:stretch>
                  </pic:blipFill>
                  <pic:spPr bwMode="auto">
                    <a:xfrm>
                      <a:off x="0" y="0"/>
                      <a:ext cx="1413510" cy="1463040"/>
                    </a:xfrm>
                    <a:prstGeom prst="rect">
                      <a:avLst/>
                    </a:prstGeom>
                    <a:noFill/>
                    <a:ln w="9525">
                      <a:noFill/>
                      <a:miter lim="800000"/>
                      <a:headEnd/>
                      <a:tailEnd/>
                    </a:ln>
                  </pic:spPr>
                </pic:pic>
              </a:graphicData>
            </a:graphic>
          </wp:anchor>
        </w:drawing>
      </w:r>
      <w:r>
        <w:rPr>
          <w:rFonts w:ascii="Verdana" w:eastAsia="Times New Roman" w:hAnsi="Verdana" w:cs="Times New Roman"/>
          <w:b/>
          <w:bCs/>
          <w:noProof/>
          <w:color w:val="D58900"/>
          <w:szCs w:val="19"/>
        </w:rPr>
        <w:drawing>
          <wp:anchor distT="0" distB="0" distL="114300" distR="114300" simplePos="0" relativeHeight="251659264" behindDoc="0" locked="0" layoutInCell="1" allowOverlap="1">
            <wp:simplePos x="0" y="0"/>
            <wp:positionH relativeFrom="column">
              <wp:posOffset>4575810</wp:posOffset>
            </wp:positionH>
            <wp:positionV relativeFrom="paragraph">
              <wp:posOffset>544195</wp:posOffset>
            </wp:positionV>
            <wp:extent cx="1855470" cy="1485900"/>
            <wp:effectExtent l="19050" t="0" r="0" b="0"/>
            <wp:wrapThrough wrapText="bothSides">
              <wp:wrapPolygon edited="0">
                <wp:start x="-222" y="0"/>
                <wp:lineTo x="-222" y="21323"/>
                <wp:lineTo x="21511" y="21323"/>
                <wp:lineTo x="21511" y="0"/>
                <wp:lineTo x="-222" y="0"/>
              </wp:wrapPolygon>
            </wp:wrapThrough>
            <wp:docPr id="17" name="Picture 10" descr="Crowd of people on bow of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wd of people on bow of ship"/>
                    <pic:cNvPicPr>
                      <a:picLocks noChangeAspect="1" noChangeArrowheads="1"/>
                    </pic:cNvPicPr>
                  </pic:nvPicPr>
                  <pic:blipFill>
                    <a:blip r:embed="rId7" cstate="print"/>
                    <a:srcRect/>
                    <a:stretch>
                      <a:fillRect/>
                    </a:stretch>
                  </pic:blipFill>
                  <pic:spPr bwMode="auto">
                    <a:xfrm>
                      <a:off x="0" y="0"/>
                      <a:ext cx="1855470" cy="1485900"/>
                    </a:xfrm>
                    <a:prstGeom prst="rect">
                      <a:avLst/>
                    </a:prstGeom>
                    <a:noFill/>
                    <a:ln w="9525">
                      <a:noFill/>
                      <a:miter lim="800000"/>
                      <a:headEnd/>
                      <a:tailEnd/>
                    </a:ln>
                  </pic:spPr>
                </pic:pic>
              </a:graphicData>
            </a:graphic>
          </wp:anchor>
        </w:drawing>
      </w:r>
      <w:r w:rsidR="00D81328" w:rsidRPr="001D4428">
        <w:rPr>
          <w:rFonts w:ascii="Verdana" w:eastAsia="Times New Roman" w:hAnsi="Verdana" w:cs="Times New Roman"/>
          <w:b/>
          <w:bCs/>
          <w:color w:val="D58900"/>
          <w:szCs w:val="19"/>
        </w:rPr>
        <w:t xml:space="preserve">Chasing Bits and Pieces of New Zealand </w:t>
      </w:r>
      <w:proofErr w:type="gramStart"/>
      <w:r w:rsidR="00D81328" w:rsidRPr="001D4428">
        <w:rPr>
          <w:rFonts w:ascii="Verdana" w:eastAsia="Times New Roman" w:hAnsi="Verdana" w:cs="Times New Roman"/>
          <w:b/>
          <w:bCs/>
          <w:color w:val="D58900"/>
          <w:szCs w:val="19"/>
        </w:rPr>
        <w:t>From</w:t>
      </w:r>
      <w:proofErr w:type="gramEnd"/>
      <w:r w:rsidR="00D81328" w:rsidRPr="001D4428">
        <w:rPr>
          <w:rFonts w:ascii="Verdana" w:eastAsia="Times New Roman" w:hAnsi="Verdana" w:cs="Times New Roman"/>
          <w:b/>
          <w:bCs/>
          <w:color w:val="D58900"/>
          <w:szCs w:val="19"/>
        </w:rPr>
        <w:t xml:space="preserve"> Source To Sink: Sand Provenance Studies in New Zealand Sedimentary Systems and Implications for Hydrocarbon Exploration Across “</w:t>
      </w:r>
      <w:proofErr w:type="spellStart"/>
      <w:r w:rsidR="00D81328" w:rsidRPr="001D4428">
        <w:rPr>
          <w:rFonts w:ascii="Verdana" w:eastAsia="Times New Roman" w:hAnsi="Verdana" w:cs="Times New Roman"/>
          <w:b/>
          <w:bCs/>
          <w:color w:val="D58900"/>
          <w:szCs w:val="19"/>
        </w:rPr>
        <w:t>Zealandia</w:t>
      </w:r>
      <w:proofErr w:type="spellEnd"/>
      <w:r w:rsidR="00D81328" w:rsidRPr="001D4428">
        <w:rPr>
          <w:rFonts w:ascii="Verdana" w:eastAsia="Times New Roman" w:hAnsi="Verdana" w:cs="Times New Roman"/>
          <w:b/>
          <w:bCs/>
          <w:color w:val="D58900"/>
          <w:szCs w:val="19"/>
        </w:rPr>
        <w:t>”</w:t>
      </w:r>
    </w:p>
    <w:p w:rsidR="00657470" w:rsidRDefault="00657470" w:rsidP="009953F8">
      <w:pPr>
        <w:rPr>
          <w:rFonts w:ascii="Arial" w:hAnsi="Arial" w:cs="Arial"/>
          <w:b/>
          <w:color w:val="17365D" w:themeColor="text2" w:themeShade="BF"/>
          <w:sz w:val="28"/>
          <w:szCs w:val="19"/>
          <w:shd w:val="clear" w:color="auto" w:fill="FFFFFF"/>
        </w:rPr>
      </w:pPr>
    </w:p>
    <w:p w:rsidR="001D4428" w:rsidRDefault="009953F8" w:rsidP="00657470">
      <w:pPr>
        <w:jc w:val="center"/>
        <w:rPr>
          <w:rFonts w:ascii="Arial" w:hAnsi="Arial" w:cs="Arial"/>
          <w:b/>
          <w:color w:val="17365D" w:themeColor="text2" w:themeShade="BF"/>
          <w:sz w:val="28"/>
          <w:szCs w:val="19"/>
          <w:shd w:val="clear" w:color="auto" w:fill="FFFFFF"/>
        </w:rPr>
      </w:pPr>
      <w:r w:rsidRPr="001D4428">
        <w:rPr>
          <w:rFonts w:ascii="Arial" w:hAnsi="Arial" w:cs="Arial"/>
          <w:b/>
          <w:color w:val="17365D" w:themeColor="text2" w:themeShade="BF"/>
          <w:sz w:val="28"/>
          <w:szCs w:val="19"/>
          <w:shd w:val="clear" w:color="auto" w:fill="FFFFFF"/>
        </w:rPr>
        <w:t>Monday, October 22, 2012</w:t>
      </w:r>
    </w:p>
    <w:p w:rsidR="001D4428" w:rsidRDefault="009953F8" w:rsidP="00657470">
      <w:pPr>
        <w:jc w:val="center"/>
        <w:rPr>
          <w:rFonts w:ascii="Arial" w:hAnsi="Arial" w:cs="Arial"/>
          <w:b/>
          <w:color w:val="17365D" w:themeColor="text2" w:themeShade="BF"/>
          <w:sz w:val="28"/>
          <w:szCs w:val="19"/>
          <w:shd w:val="clear" w:color="auto" w:fill="FFFFFF"/>
        </w:rPr>
      </w:pPr>
      <w:r w:rsidRPr="001D4428">
        <w:rPr>
          <w:rFonts w:ascii="Arial" w:hAnsi="Arial" w:cs="Arial"/>
          <w:b/>
          <w:color w:val="17365D" w:themeColor="text2" w:themeShade="BF"/>
          <w:sz w:val="28"/>
          <w:szCs w:val="19"/>
          <w:shd w:val="clear" w:color="auto" w:fill="FFFFFF"/>
        </w:rPr>
        <w:t>2:00-3:00pm</w:t>
      </w:r>
    </w:p>
    <w:p w:rsidR="001D4428" w:rsidRPr="001D4428" w:rsidRDefault="009953F8" w:rsidP="00657470">
      <w:pPr>
        <w:jc w:val="center"/>
        <w:rPr>
          <w:rFonts w:ascii="Arial" w:hAnsi="Arial" w:cs="Arial"/>
          <w:b/>
          <w:color w:val="17365D" w:themeColor="text2" w:themeShade="BF"/>
          <w:sz w:val="28"/>
          <w:szCs w:val="19"/>
          <w:shd w:val="clear" w:color="auto" w:fill="FFFFFF"/>
        </w:rPr>
      </w:pPr>
      <w:r w:rsidRPr="001D4428">
        <w:rPr>
          <w:rFonts w:ascii="Arial" w:hAnsi="Arial" w:cs="Arial"/>
          <w:b/>
          <w:color w:val="17365D" w:themeColor="text2" w:themeShade="BF"/>
          <w:sz w:val="28"/>
          <w:szCs w:val="19"/>
          <w:shd w:val="clear" w:color="auto" w:fill="FFFFFF"/>
        </w:rPr>
        <w:t>Engineering East (EE), Room 191</w:t>
      </w:r>
    </w:p>
    <w:p w:rsidR="00657470" w:rsidRPr="00F77371" w:rsidRDefault="00200EBB" w:rsidP="00657470">
      <w:pPr>
        <w:pStyle w:val="NoSpacing"/>
        <w:ind w:firstLine="360"/>
        <w:rPr>
          <w:rFonts w:ascii="Arial" w:hAnsi="Arial" w:cs="Arial"/>
          <w:sz w:val="20"/>
        </w:rPr>
      </w:pPr>
      <w:r w:rsidRPr="00F77371">
        <w:rPr>
          <w:rFonts w:ascii="Arial" w:hAnsi="Arial" w:cs="Arial"/>
          <w:sz w:val="20"/>
        </w:rPr>
        <w:t xml:space="preserve">The MARGINS Source-to Sink paradigm holds that deep-sea sandy successions reflect the evolution of onshore fluvial and adjacent shelf systems, with the potential to record distinct </w:t>
      </w:r>
      <w:proofErr w:type="spellStart"/>
      <w:r w:rsidRPr="00F77371">
        <w:rPr>
          <w:rFonts w:ascii="Arial" w:hAnsi="Arial" w:cs="Arial"/>
          <w:sz w:val="20"/>
        </w:rPr>
        <w:t>eustatic</w:t>
      </w:r>
      <w:proofErr w:type="spellEnd"/>
      <w:r w:rsidRPr="00F77371">
        <w:rPr>
          <w:rFonts w:ascii="Arial" w:hAnsi="Arial" w:cs="Arial"/>
          <w:sz w:val="20"/>
        </w:rPr>
        <w:t xml:space="preserve">, climatic, and tectonic signals. Deciphering these signals in modern to Late Cenozoic systems increases our ability to interpret continental margin history preserved in ancient deep marine successions. The practical applications of such studies involve predictions of sand composition in buried deep-sea-fan petroleum reservoirs, which in turn can be directly linked to their likely </w:t>
      </w:r>
      <w:proofErr w:type="spellStart"/>
      <w:r w:rsidRPr="00F77371">
        <w:rPr>
          <w:rFonts w:ascii="Arial" w:hAnsi="Arial" w:cs="Arial"/>
          <w:sz w:val="20"/>
        </w:rPr>
        <w:t>diagenetic</w:t>
      </w:r>
      <w:proofErr w:type="spellEnd"/>
      <w:r w:rsidRPr="00F77371">
        <w:rPr>
          <w:rFonts w:ascii="Arial" w:hAnsi="Arial" w:cs="Arial"/>
          <w:sz w:val="20"/>
        </w:rPr>
        <w:t xml:space="preserve"> pathway(s) and ultimate reservoir quality.</w:t>
      </w:r>
    </w:p>
    <w:p w:rsidR="00F77371" w:rsidRDefault="00F77371" w:rsidP="00657470">
      <w:pPr>
        <w:pStyle w:val="NoSpacing"/>
        <w:ind w:firstLine="360"/>
        <w:rPr>
          <w:rFonts w:ascii="Arial" w:hAnsi="Arial" w:cs="Arial"/>
          <w:sz w:val="20"/>
        </w:rPr>
      </w:pPr>
    </w:p>
    <w:p w:rsidR="00200EBB" w:rsidRPr="00F77371" w:rsidRDefault="00200EBB" w:rsidP="00657470">
      <w:pPr>
        <w:pStyle w:val="NoSpacing"/>
        <w:ind w:firstLine="360"/>
        <w:rPr>
          <w:rFonts w:ascii="Arial" w:hAnsi="Arial" w:cs="Arial"/>
          <w:sz w:val="20"/>
        </w:rPr>
      </w:pPr>
      <w:r w:rsidRPr="00F77371">
        <w:rPr>
          <w:rFonts w:ascii="Arial" w:hAnsi="Arial" w:cs="Arial"/>
          <w:sz w:val="20"/>
        </w:rPr>
        <w:t xml:space="preserve">Recent and ongoing work with my students demonstrates that the modern and ancient passive to active margin sedimentary systems of New Zealand are ideal places for holistic, source-to-sink sand provenance studies. These include the Bounty Fan (BFSS), Canterbury Margin (CMSS), </w:t>
      </w:r>
      <w:proofErr w:type="spellStart"/>
      <w:r w:rsidRPr="00F77371">
        <w:rPr>
          <w:rFonts w:ascii="Arial" w:hAnsi="Arial" w:cs="Arial"/>
          <w:sz w:val="20"/>
        </w:rPr>
        <w:t>Waipaoa</w:t>
      </w:r>
      <w:proofErr w:type="spellEnd"/>
      <w:r w:rsidRPr="00F77371">
        <w:rPr>
          <w:rFonts w:ascii="Arial" w:hAnsi="Arial" w:cs="Arial"/>
          <w:sz w:val="20"/>
        </w:rPr>
        <w:t xml:space="preserve"> River (WRSS), and the petroliferous </w:t>
      </w:r>
      <w:proofErr w:type="spellStart"/>
      <w:r w:rsidRPr="00F77371">
        <w:rPr>
          <w:rFonts w:ascii="Arial" w:hAnsi="Arial" w:cs="Arial"/>
          <w:sz w:val="20"/>
        </w:rPr>
        <w:t>Taranaki</w:t>
      </w:r>
      <w:proofErr w:type="spellEnd"/>
      <w:r w:rsidRPr="00F77371">
        <w:rPr>
          <w:rFonts w:ascii="Arial" w:hAnsi="Arial" w:cs="Arial"/>
          <w:sz w:val="20"/>
        </w:rPr>
        <w:t xml:space="preserve"> Basin (TBSS) Sedimentary Systems. Our petrologic data sets include:</w:t>
      </w:r>
    </w:p>
    <w:p w:rsidR="00F77371" w:rsidRDefault="00F77371" w:rsidP="00F77371">
      <w:pPr>
        <w:pStyle w:val="NoSpacing"/>
        <w:ind w:firstLine="720"/>
      </w:pPr>
    </w:p>
    <w:p w:rsidR="00200EBB" w:rsidRPr="00F77371" w:rsidRDefault="00F77371" w:rsidP="00F77371">
      <w:pPr>
        <w:pStyle w:val="NoSpacing"/>
        <w:ind w:firstLine="720"/>
        <w:rPr>
          <w:rFonts w:ascii="Arial" w:hAnsi="Arial" w:cs="Arial"/>
          <w:sz w:val="20"/>
        </w:rPr>
      </w:pPr>
      <w:r>
        <w:t xml:space="preserve">1. </w:t>
      </w:r>
      <w:proofErr w:type="gramStart"/>
      <w:r w:rsidR="00200EBB" w:rsidRPr="00F77371">
        <w:rPr>
          <w:rFonts w:ascii="Arial" w:hAnsi="Arial" w:cs="Arial"/>
          <w:sz w:val="20"/>
        </w:rPr>
        <w:t>modern</w:t>
      </w:r>
      <w:proofErr w:type="gramEnd"/>
      <w:r w:rsidR="00200EBB" w:rsidRPr="00F77371">
        <w:rPr>
          <w:rFonts w:ascii="Arial" w:hAnsi="Arial" w:cs="Arial"/>
          <w:sz w:val="20"/>
        </w:rPr>
        <w:t xml:space="preserve"> river and beach samples;</w:t>
      </w:r>
    </w:p>
    <w:p w:rsidR="00200EBB" w:rsidRPr="00F77371" w:rsidRDefault="00F77371" w:rsidP="00F77371">
      <w:pPr>
        <w:pStyle w:val="NoSpacing"/>
        <w:ind w:firstLine="720"/>
        <w:rPr>
          <w:rFonts w:ascii="Arial" w:hAnsi="Arial" w:cs="Arial"/>
          <w:sz w:val="20"/>
        </w:rPr>
      </w:pPr>
      <w:r w:rsidRPr="00F77371">
        <w:rPr>
          <w:rFonts w:ascii="Arial" w:hAnsi="Arial" w:cs="Arial"/>
          <w:sz w:val="20"/>
        </w:rPr>
        <w:t xml:space="preserve">2. </w:t>
      </w:r>
      <w:proofErr w:type="gramStart"/>
      <w:r w:rsidR="00200EBB" w:rsidRPr="00F77371">
        <w:rPr>
          <w:rFonts w:ascii="Arial" w:hAnsi="Arial" w:cs="Arial"/>
          <w:sz w:val="20"/>
        </w:rPr>
        <w:t>piston</w:t>
      </w:r>
      <w:proofErr w:type="gramEnd"/>
      <w:r w:rsidR="00200EBB" w:rsidRPr="00F77371">
        <w:rPr>
          <w:rFonts w:ascii="Arial" w:hAnsi="Arial" w:cs="Arial"/>
          <w:sz w:val="20"/>
        </w:rPr>
        <w:t xml:space="preserve"> and box core samples;</w:t>
      </w:r>
    </w:p>
    <w:p w:rsidR="00200EBB" w:rsidRPr="00F77371" w:rsidRDefault="00F77371" w:rsidP="00F77371">
      <w:pPr>
        <w:pStyle w:val="NoSpacing"/>
        <w:ind w:firstLine="720"/>
        <w:rPr>
          <w:rFonts w:ascii="Arial" w:hAnsi="Arial" w:cs="Arial"/>
          <w:sz w:val="20"/>
        </w:rPr>
      </w:pPr>
      <w:r w:rsidRPr="00F77371">
        <w:rPr>
          <w:rFonts w:ascii="Arial" w:hAnsi="Arial" w:cs="Arial"/>
          <w:sz w:val="20"/>
        </w:rPr>
        <w:t xml:space="preserve">3. </w:t>
      </w:r>
      <w:proofErr w:type="gramStart"/>
      <w:r w:rsidR="00200EBB" w:rsidRPr="00F77371">
        <w:rPr>
          <w:rFonts w:ascii="Arial" w:hAnsi="Arial" w:cs="Arial"/>
          <w:sz w:val="20"/>
        </w:rPr>
        <w:t>sandy</w:t>
      </w:r>
      <w:proofErr w:type="gramEnd"/>
      <w:r w:rsidR="00200EBB" w:rsidRPr="00F77371">
        <w:rPr>
          <w:rFonts w:ascii="Arial" w:hAnsi="Arial" w:cs="Arial"/>
          <w:sz w:val="20"/>
        </w:rPr>
        <w:t xml:space="preserve"> core samples from Ocean Drilling Program and Integrated Ocean Drilling Program sites; and</w:t>
      </w:r>
    </w:p>
    <w:p w:rsidR="00F77371" w:rsidRDefault="00F77371" w:rsidP="00F77371">
      <w:pPr>
        <w:pStyle w:val="NoSpacing"/>
        <w:ind w:firstLine="360"/>
        <w:rPr>
          <w:rFonts w:ascii="Arial" w:hAnsi="Arial" w:cs="Arial"/>
          <w:sz w:val="20"/>
        </w:rPr>
      </w:pPr>
      <w:r>
        <w:rPr>
          <w:rFonts w:ascii="Arial" w:hAnsi="Arial" w:cs="Arial"/>
          <w:sz w:val="20"/>
        </w:rPr>
        <w:t xml:space="preserve">       </w:t>
      </w:r>
      <w:r w:rsidRPr="00F77371">
        <w:rPr>
          <w:rFonts w:ascii="Arial" w:hAnsi="Arial" w:cs="Arial"/>
          <w:sz w:val="20"/>
        </w:rPr>
        <w:t xml:space="preserve">4. </w:t>
      </w:r>
      <w:r w:rsidR="00200EBB" w:rsidRPr="00F77371">
        <w:rPr>
          <w:rFonts w:ascii="Arial" w:hAnsi="Arial" w:cs="Arial"/>
          <w:sz w:val="20"/>
        </w:rPr>
        <w:t>Cenozoic to Mesozoic outcrops within stream drainage basins.</w:t>
      </w:r>
    </w:p>
    <w:p w:rsidR="00F77371" w:rsidRDefault="00F77371" w:rsidP="00F77371">
      <w:pPr>
        <w:pStyle w:val="NoSpacing"/>
        <w:ind w:firstLine="360"/>
        <w:rPr>
          <w:rFonts w:ascii="Arial" w:eastAsia="Times New Roman" w:hAnsi="Arial" w:cs="Arial"/>
          <w:color w:val="000000"/>
          <w:sz w:val="20"/>
          <w:szCs w:val="20"/>
        </w:rPr>
      </w:pPr>
    </w:p>
    <w:p w:rsidR="00CD200A" w:rsidRPr="00F77371" w:rsidRDefault="00200EBB" w:rsidP="00F77371">
      <w:pPr>
        <w:pStyle w:val="NoSpacing"/>
        <w:ind w:firstLine="360"/>
        <w:rPr>
          <w:rFonts w:ascii="Arial" w:hAnsi="Arial" w:cs="Arial"/>
          <w:sz w:val="20"/>
          <w:szCs w:val="20"/>
        </w:rPr>
      </w:pPr>
      <w:r w:rsidRPr="00F77371">
        <w:rPr>
          <w:rFonts w:ascii="Arial" w:eastAsia="Times New Roman" w:hAnsi="Arial" w:cs="Arial"/>
          <w:color w:val="000000"/>
          <w:sz w:val="20"/>
          <w:szCs w:val="20"/>
        </w:rPr>
        <w:t xml:space="preserve">These sand samples include first cycle and multi-cycle detritus derived from similar </w:t>
      </w:r>
      <w:proofErr w:type="spellStart"/>
      <w:r w:rsidRPr="00F77371">
        <w:rPr>
          <w:rFonts w:ascii="Arial" w:eastAsia="Times New Roman" w:hAnsi="Arial" w:cs="Arial"/>
          <w:color w:val="000000"/>
          <w:sz w:val="20"/>
          <w:szCs w:val="20"/>
        </w:rPr>
        <w:t>clastic</w:t>
      </w:r>
      <w:proofErr w:type="spellEnd"/>
      <w:r w:rsidRPr="00F77371">
        <w:rPr>
          <w:rFonts w:ascii="Arial" w:eastAsia="Times New Roman" w:hAnsi="Arial" w:cs="Arial"/>
          <w:color w:val="000000"/>
          <w:sz w:val="20"/>
          <w:szCs w:val="20"/>
        </w:rPr>
        <w:t xml:space="preserve"> sedimentary/</w:t>
      </w:r>
      <w:proofErr w:type="spellStart"/>
      <w:r w:rsidRPr="00F77371">
        <w:rPr>
          <w:rFonts w:ascii="Arial" w:eastAsia="Times New Roman" w:hAnsi="Arial" w:cs="Arial"/>
          <w:color w:val="000000"/>
          <w:sz w:val="20"/>
          <w:szCs w:val="20"/>
        </w:rPr>
        <w:t>metasedimentary</w:t>
      </w:r>
      <w:proofErr w:type="spellEnd"/>
      <w:r w:rsidRPr="00F77371">
        <w:rPr>
          <w:rFonts w:ascii="Arial" w:eastAsia="Times New Roman" w:hAnsi="Arial" w:cs="Arial"/>
          <w:color w:val="000000"/>
          <w:sz w:val="20"/>
          <w:szCs w:val="20"/>
        </w:rPr>
        <w:t xml:space="preserve"> basement rocks (e.g., </w:t>
      </w:r>
      <w:proofErr w:type="spellStart"/>
      <w:r w:rsidRPr="00F77371">
        <w:rPr>
          <w:rFonts w:ascii="Arial" w:eastAsia="Times New Roman" w:hAnsi="Arial" w:cs="Arial"/>
          <w:color w:val="000000"/>
          <w:sz w:val="20"/>
          <w:szCs w:val="20"/>
        </w:rPr>
        <w:t>Torlesse</w:t>
      </w:r>
      <w:proofErr w:type="spellEnd"/>
      <w:r w:rsidRPr="00F77371">
        <w:rPr>
          <w:rFonts w:ascii="Arial" w:eastAsia="Times New Roman" w:hAnsi="Arial" w:cs="Arial"/>
          <w:color w:val="000000"/>
          <w:sz w:val="20"/>
          <w:szCs w:val="20"/>
        </w:rPr>
        <w:t xml:space="preserve"> </w:t>
      </w:r>
      <w:proofErr w:type="spellStart"/>
      <w:r w:rsidRPr="00F77371">
        <w:rPr>
          <w:rFonts w:ascii="Arial" w:eastAsia="Times New Roman" w:hAnsi="Arial" w:cs="Arial"/>
          <w:color w:val="000000"/>
          <w:sz w:val="20"/>
          <w:szCs w:val="20"/>
        </w:rPr>
        <w:t>Terrane</w:t>
      </w:r>
      <w:proofErr w:type="spellEnd"/>
      <w:r w:rsidRPr="00F77371">
        <w:rPr>
          <w:rFonts w:ascii="Arial" w:eastAsia="Times New Roman" w:hAnsi="Arial" w:cs="Arial"/>
          <w:color w:val="000000"/>
          <w:sz w:val="20"/>
          <w:szCs w:val="20"/>
        </w:rPr>
        <w:t xml:space="preserve">), as well as sediments derived from progressively metamorphosed versions of these rocks (e.g., </w:t>
      </w:r>
      <w:proofErr w:type="spellStart"/>
      <w:r w:rsidRPr="00F77371">
        <w:rPr>
          <w:rFonts w:ascii="Arial" w:eastAsia="Times New Roman" w:hAnsi="Arial" w:cs="Arial"/>
          <w:color w:val="000000"/>
          <w:sz w:val="20"/>
          <w:szCs w:val="20"/>
        </w:rPr>
        <w:t>Otago</w:t>
      </w:r>
      <w:proofErr w:type="spellEnd"/>
      <w:r w:rsidRPr="00F77371">
        <w:rPr>
          <w:rFonts w:ascii="Arial" w:eastAsia="Times New Roman" w:hAnsi="Arial" w:cs="Arial"/>
          <w:color w:val="000000"/>
          <w:sz w:val="20"/>
          <w:szCs w:val="20"/>
        </w:rPr>
        <w:t xml:space="preserve"> Schist), along with variable volcanic and plutonic input. To date, sand detrital modes have been determined for parts of each system and these demonstrate a variety of processes. Unexpected results include a shut-off of sediment supply linked to onshore </w:t>
      </w:r>
      <w:proofErr w:type="spellStart"/>
      <w:r w:rsidRPr="00F77371">
        <w:rPr>
          <w:rFonts w:ascii="Arial" w:eastAsia="Times New Roman" w:hAnsi="Arial" w:cs="Arial"/>
          <w:color w:val="000000"/>
          <w:sz w:val="20"/>
          <w:szCs w:val="20"/>
        </w:rPr>
        <w:t>tectonism</w:t>
      </w:r>
      <w:proofErr w:type="spellEnd"/>
      <w:r w:rsidRPr="00F77371">
        <w:rPr>
          <w:rFonts w:ascii="Arial" w:eastAsia="Times New Roman" w:hAnsi="Arial" w:cs="Arial"/>
          <w:color w:val="000000"/>
          <w:sz w:val="20"/>
          <w:szCs w:val="20"/>
        </w:rPr>
        <w:t xml:space="preserve"> in the BFSS, the dynamic interplay of direct fluvial supply and along-shelf current transport in the CMSS, the importance of coastal erosion in generating shelf sand in the WRSS, and the diversity of potential </w:t>
      </w:r>
      <w:proofErr w:type="spellStart"/>
      <w:r w:rsidRPr="00F77371">
        <w:rPr>
          <w:rFonts w:ascii="Arial" w:eastAsia="Times New Roman" w:hAnsi="Arial" w:cs="Arial"/>
          <w:color w:val="000000"/>
          <w:sz w:val="20"/>
          <w:szCs w:val="20"/>
        </w:rPr>
        <w:t>clastic</w:t>
      </w:r>
      <w:proofErr w:type="spellEnd"/>
      <w:r w:rsidRPr="00F77371">
        <w:rPr>
          <w:rFonts w:ascii="Arial" w:eastAsia="Times New Roman" w:hAnsi="Arial" w:cs="Arial"/>
          <w:color w:val="000000"/>
          <w:sz w:val="20"/>
          <w:szCs w:val="20"/>
        </w:rPr>
        <w:t xml:space="preserve"> sediment sources in the TBSS. Provenance models developed using these data will help predict reservoir quality as petroleum exploration expands outward from New Zealand to the largely submerged landmass referred to as “</w:t>
      </w:r>
      <w:proofErr w:type="spellStart"/>
      <w:r w:rsidRPr="00F77371">
        <w:rPr>
          <w:rFonts w:ascii="Arial" w:eastAsia="Times New Roman" w:hAnsi="Arial" w:cs="Arial"/>
          <w:color w:val="000000"/>
          <w:sz w:val="20"/>
          <w:szCs w:val="20"/>
        </w:rPr>
        <w:t>Zealandia</w:t>
      </w:r>
      <w:proofErr w:type="spellEnd"/>
      <w:r w:rsidRPr="00F77371">
        <w:rPr>
          <w:rFonts w:ascii="Arial" w:eastAsia="Times New Roman" w:hAnsi="Arial" w:cs="Arial"/>
          <w:color w:val="000000"/>
          <w:sz w:val="20"/>
          <w:szCs w:val="20"/>
        </w:rPr>
        <w:t>.”</w:t>
      </w:r>
      <w:r w:rsidR="001A4B6B" w:rsidRPr="00F77371">
        <w:rPr>
          <w:sz w:val="20"/>
          <w:szCs w:val="20"/>
        </w:rPr>
        <w:t xml:space="preserve">   </w:t>
      </w:r>
      <w:hyperlink r:id="rId8" w:history="1">
        <w:r w:rsidR="001A4B6B" w:rsidRPr="00F77371">
          <w:rPr>
            <w:rStyle w:val="Hyperlink"/>
            <w:sz w:val="20"/>
            <w:szCs w:val="20"/>
          </w:rPr>
          <w:t>http://www.aapg.org/education/dist_lect/marsaglia.cfm</w:t>
        </w:r>
      </w:hyperlink>
    </w:p>
    <w:p w:rsidR="00F77371" w:rsidRDefault="00F77371" w:rsidP="00657470">
      <w:pPr>
        <w:pStyle w:val="NoSpacing"/>
        <w:rPr>
          <w:sz w:val="20"/>
          <w:shd w:val="clear" w:color="auto" w:fill="FFFFFF"/>
        </w:rPr>
      </w:pPr>
    </w:p>
    <w:p w:rsidR="00D81328" w:rsidRPr="00F77371" w:rsidRDefault="001D4428" w:rsidP="00F77371">
      <w:pPr>
        <w:pStyle w:val="NoSpacing"/>
        <w:rPr>
          <w:b/>
          <w:color w:val="17365D" w:themeColor="text2" w:themeShade="BF"/>
          <w:sz w:val="36"/>
          <w:shd w:val="clear" w:color="auto" w:fill="FFFFFF"/>
        </w:rPr>
      </w:pPr>
      <w:r w:rsidRPr="00F77371">
        <w:rPr>
          <w:sz w:val="20"/>
          <w:shd w:val="clear" w:color="auto" w:fill="FFFFFF"/>
        </w:rPr>
        <w:t xml:space="preserve">Dr. Kathleen </w:t>
      </w:r>
      <w:proofErr w:type="spellStart"/>
      <w:r w:rsidRPr="00F77371">
        <w:rPr>
          <w:sz w:val="20"/>
          <w:shd w:val="clear" w:color="auto" w:fill="FFFFFF"/>
        </w:rPr>
        <w:t>Marsaglia</w:t>
      </w:r>
      <w:proofErr w:type="spellEnd"/>
      <w:r w:rsidRPr="00F77371">
        <w:rPr>
          <w:sz w:val="20"/>
          <w:shd w:val="clear" w:color="auto" w:fill="FFFFFF"/>
        </w:rPr>
        <w:t xml:space="preserve"> received her Geology degrees from the University of Illinois at Urbana-Champaign (BS and MS) and UCLA (PhD). Over the years she has worked in the petroleum industry for Arco, Amoco, Exxon and Westport Technology International. She is currently a Professor in the Department of Geological Sciences, California State University Northridge (CSUN). Her expertise is sandstone petrology and sedimentation and tectonics, with over 70 peer-reviewed publications. She has participated as a shipboard </w:t>
      </w:r>
      <w:proofErr w:type="spellStart"/>
      <w:r w:rsidRPr="00F77371">
        <w:rPr>
          <w:sz w:val="20"/>
          <w:shd w:val="clear" w:color="auto" w:fill="FFFFFF"/>
        </w:rPr>
        <w:t>sedimentologist</w:t>
      </w:r>
      <w:proofErr w:type="spellEnd"/>
      <w:r w:rsidRPr="00F77371">
        <w:rPr>
          <w:sz w:val="20"/>
          <w:shd w:val="clear" w:color="auto" w:fill="FFFFFF"/>
        </w:rPr>
        <w:t xml:space="preserve"> on eight ocean drilling cruises (IODP and ODP), most located on passive and active continental margins in the Pacific, Mediterranean and Atlantic. She is the director of the AAPG-SEG West Coast Student Expo at CSUN and a Fellow of the Geological Society of America.</w:t>
      </w:r>
    </w:p>
    <w:sectPr w:rsidR="00D81328" w:rsidRPr="00F77371" w:rsidSect="0065747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B4AAA"/>
    <w:multiLevelType w:val="multilevel"/>
    <w:tmpl w:val="08D6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00EBB"/>
    <w:rsid w:val="001302E8"/>
    <w:rsid w:val="001466B4"/>
    <w:rsid w:val="001A4B6B"/>
    <w:rsid w:val="001D4428"/>
    <w:rsid w:val="00200EBB"/>
    <w:rsid w:val="00284507"/>
    <w:rsid w:val="002D2CB7"/>
    <w:rsid w:val="002F65AF"/>
    <w:rsid w:val="00657470"/>
    <w:rsid w:val="008D2E49"/>
    <w:rsid w:val="008E5D90"/>
    <w:rsid w:val="009953F8"/>
    <w:rsid w:val="00B12376"/>
    <w:rsid w:val="00CD200A"/>
    <w:rsid w:val="00D81328"/>
    <w:rsid w:val="00E27B74"/>
    <w:rsid w:val="00F7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76"/>
  </w:style>
  <w:style w:type="paragraph" w:styleId="Heading4">
    <w:name w:val="heading 4"/>
    <w:basedOn w:val="Normal"/>
    <w:link w:val="Heading4Char"/>
    <w:uiPriority w:val="9"/>
    <w:qFormat/>
    <w:rsid w:val="00200E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0EB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0E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0EBB"/>
    <w:rPr>
      <w:color w:val="0000FF"/>
      <w:u w:val="single"/>
    </w:rPr>
  </w:style>
  <w:style w:type="paragraph" w:styleId="BalloonText">
    <w:name w:val="Balloon Text"/>
    <w:basedOn w:val="Normal"/>
    <w:link w:val="BalloonTextChar"/>
    <w:uiPriority w:val="99"/>
    <w:semiHidden/>
    <w:unhideWhenUsed/>
    <w:rsid w:val="008D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49"/>
    <w:rPr>
      <w:rFonts w:ascii="Tahoma" w:hAnsi="Tahoma" w:cs="Tahoma"/>
      <w:sz w:val="16"/>
      <w:szCs w:val="16"/>
    </w:rPr>
  </w:style>
  <w:style w:type="paragraph" w:styleId="NoSpacing">
    <w:name w:val="No Spacing"/>
    <w:uiPriority w:val="1"/>
    <w:qFormat/>
    <w:rsid w:val="006574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2818">
      <w:bodyDiv w:val="1"/>
      <w:marLeft w:val="0"/>
      <w:marRight w:val="0"/>
      <w:marTop w:val="0"/>
      <w:marBottom w:val="0"/>
      <w:divBdr>
        <w:top w:val="none" w:sz="0" w:space="0" w:color="auto"/>
        <w:left w:val="none" w:sz="0" w:space="0" w:color="auto"/>
        <w:bottom w:val="none" w:sz="0" w:space="0" w:color="auto"/>
        <w:right w:val="none" w:sz="0" w:space="0" w:color="auto"/>
      </w:divBdr>
    </w:div>
    <w:div w:id="14089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g.org/education/dist_lect/marsaglia.cf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One</dc:creator>
  <cp:lastModifiedBy>UserID</cp:lastModifiedBy>
  <cp:revision>2</cp:revision>
  <cp:lastPrinted>2012-10-16T21:35:00Z</cp:lastPrinted>
  <dcterms:created xsi:type="dcterms:W3CDTF">2012-11-20T16:52:00Z</dcterms:created>
  <dcterms:modified xsi:type="dcterms:W3CDTF">2012-11-20T16:52:00Z</dcterms:modified>
</cp:coreProperties>
</file>