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D77A2" w14:textId="77777777" w:rsidR="006C3D09" w:rsidRDefault="006C3D09" w:rsidP="006C3D09">
      <w:pPr>
        <w:pStyle w:val="NoSpacing"/>
        <w:jc w:val="center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>ASCSU Plenary, September 8-9, 2022</w:t>
      </w:r>
    </w:p>
    <w:p w14:paraId="6A833E17" w14:textId="77777777" w:rsidR="006C3D09" w:rsidRPr="006C3D09" w:rsidRDefault="006C3D09" w:rsidP="006C3D09">
      <w:pPr>
        <w:pStyle w:val="NoSpacing"/>
        <w:jc w:val="center"/>
        <w:rPr>
          <w:rFonts w:ascii="Times New Roman" w:hAnsi="Times New Roman" w:cs="Times New Roman"/>
        </w:rPr>
      </w:pPr>
    </w:p>
    <w:p w14:paraId="47F1FA0E" w14:textId="77777777" w:rsidR="00986F73" w:rsidRPr="00986F73" w:rsidRDefault="00986F73" w:rsidP="00986F73">
      <w:pPr>
        <w:pStyle w:val="NoSpacing"/>
        <w:rPr>
          <w:rFonts w:ascii="Times New Roman" w:hAnsi="Times New Roman" w:cs="Times New Roman"/>
          <w:b/>
        </w:rPr>
      </w:pPr>
      <w:r w:rsidRPr="00986F73">
        <w:rPr>
          <w:rFonts w:ascii="Times New Roman" w:hAnsi="Times New Roman" w:cs="Times New Roman"/>
          <w:b/>
        </w:rPr>
        <w:t xml:space="preserve">Jolene Koester, Interim CSU Chancellor; Wenda Fong, CSU Board of Trustees Chair, and Jack B. Clark CSU Board of Trustees Vice Chair </w:t>
      </w:r>
    </w:p>
    <w:p w14:paraId="2912D509" w14:textId="77777777" w:rsidR="003B7DDC" w:rsidRDefault="00F476BC" w:rsidP="006C3D09">
      <w:pPr>
        <w:pStyle w:val="NoSpacing"/>
        <w:rPr>
          <w:rFonts w:ascii="Times New Roman" w:hAnsi="Times New Roman" w:cs="Times New Roman"/>
        </w:rPr>
      </w:pPr>
      <w:r w:rsidRPr="00325F6E">
        <w:rPr>
          <w:rFonts w:ascii="Times New Roman" w:hAnsi="Times New Roman" w:cs="Times New Roman"/>
          <w:b/>
        </w:rPr>
        <w:t>CSU/State (Governor’s) Compact</w:t>
      </w:r>
      <w:r w:rsidRPr="006C3D09">
        <w:rPr>
          <w:rFonts w:ascii="Times New Roman" w:hAnsi="Times New Roman" w:cs="Times New Roman"/>
        </w:rPr>
        <w:t xml:space="preserve">  The compact stipulates 5% increase to the CSU each year for the next five years. </w:t>
      </w:r>
    </w:p>
    <w:p w14:paraId="52838DF7" w14:textId="77777777" w:rsidR="003B7DDC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There are </w:t>
      </w:r>
      <w:r w:rsidR="00CB60FF">
        <w:rPr>
          <w:rFonts w:ascii="Times New Roman" w:hAnsi="Times New Roman" w:cs="Times New Roman"/>
        </w:rPr>
        <w:t xml:space="preserve">six metrics to demonstrate the </w:t>
      </w:r>
      <w:r w:rsidR="00CB60FF" w:rsidRPr="006C3D09">
        <w:rPr>
          <w:rFonts w:ascii="Times New Roman" w:hAnsi="Times New Roman" w:cs="Times New Roman"/>
        </w:rPr>
        <w:t>establishing of</w:t>
      </w:r>
      <w:r w:rsidR="00CB60FF">
        <w:rPr>
          <w:rFonts w:ascii="Times New Roman" w:hAnsi="Times New Roman" w:cs="Times New Roman"/>
        </w:rPr>
        <w:t xml:space="preserve">, reporting on, and making </w:t>
      </w:r>
      <w:r w:rsidR="00CB60FF" w:rsidRPr="006C3D09">
        <w:rPr>
          <w:rFonts w:ascii="Times New Roman" w:hAnsi="Times New Roman" w:cs="Times New Roman"/>
        </w:rPr>
        <w:t>positive progress towards</w:t>
      </w:r>
      <w:r w:rsidR="004D3163">
        <w:rPr>
          <w:rFonts w:ascii="Times New Roman" w:hAnsi="Times New Roman" w:cs="Times New Roman"/>
        </w:rPr>
        <w:t xml:space="preserve"> the following:</w:t>
      </w:r>
      <w:r w:rsidR="00CB60FF">
        <w:rPr>
          <w:rFonts w:ascii="Times New Roman" w:hAnsi="Times New Roman" w:cs="Times New Roman"/>
        </w:rPr>
        <w:t xml:space="preserve"> </w:t>
      </w:r>
    </w:p>
    <w:p w14:paraId="1BEA1273" w14:textId="77777777" w:rsidR="003B7DDC" w:rsidRDefault="00F476BC" w:rsidP="00CA75C3">
      <w:pPr>
        <w:pStyle w:val="NoSpacing"/>
        <w:ind w:left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(i) increasing access to the CSU, </w:t>
      </w:r>
    </w:p>
    <w:p w14:paraId="7DD297D2" w14:textId="77777777" w:rsidR="00CB60FF" w:rsidRDefault="00F476BC" w:rsidP="00CE40F6">
      <w:pPr>
        <w:pStyle w:val="NoSpacing"/>
        <w:ind w:left="900" w:hanging="18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(ii) improving student success and equity gap reduction </w:t>
      </w:r>
      <w:r w:rsidR="00CB60FF">
        <w:rPr>
          <w:rFonts w:ascii="Times New Roman" w:hAnsi="Times New Roman" w:cs="Times New Roman"/>
        </w:rPr>
        <w:t>(</w:t>
      </w:r>
      <w:r w:rsidR="00986F73">
        <w:rPr>
          <w:rFonts w:ascii="Times New Roman" w:hAnsi="Times New Roman" w:cs="Times New Roman"/>
        </w:rPr>
        <w:t>e</w:t>
      </w:r>
      <w:r w:rsidR="00CB60FF">
        <w:rPr>
          <w:rFonts w:ascii="Times New Roman" w:hAnsi="Times New Roman" w:cs="Times New Roman"/>
        </w:rPr>
        <w:t xml:space="preserve">xamples: </w:t>
      </w:r>
      <w:r w:rsidRPr="006C3D09">
        <w:rPr>
          <w:rFonts w:ascii="Times New Roman" w:hAnsi="Times New Roman" w:cs="Times New Roman"/>
        </w:rPr>
        <w:t>Pell grant vs non-Pell success; disability success</w:t>
      </w:r>
      <w:r w:rsidR="00CB60FF">
        <w:rPr>
          <w:rFonts w:ascii="Times New Roman" w:hAnsi="Times New Roman" w:cs="Times New Roman"/>
        </w:rPr>
        <w:t xml:space="preserve">, </w:t>
      </w:r>
      <w:r w:rsidRPr="006C3D09">
        <w:rPr>
          <w:rFonts w:ascii="Times New Roman" w:hAnsi="Times New Roman" w:cs="Times New Roman"/>
        </w:rPr>
        <w:t>first time freshmen;</w:t>
      </w:r>
    </w:p>
    <w:p w14:paraId="13174F86" w14:textId="77777777" w:rsidR="003B7DDC" w:rsidRDefault="00F476BC" w:rsidP="00CA75C3">
      <w:pPr>
        <w:pStyle w:val="NoSpacing"/>
        <w:ind w:left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(iii) </w:t>
      </w:r>
      <w:r w:rsidR="003915E5">
        <w:rPr>
          <w:rFonts w:ascii="Times New Roman" w:hAnsi="Times New Roman" w:cs="Times New Roman"/>
        </w:rPr>
        <w:t>i</w:t>
      </w:r>
      <w:r w:rsidR="003915E5" w:rsidRPr="006C3D09">
        <w:rPr>
          <w:rFonts w:ascii="Times New Roman" w:hAnsi="Times New Roman" w:cs="Times New Roman"/>
        </w:rPr>
        <w:t>ncreasing affordability of CSU education</w:t>
      </w:r>
      <w:r w:rsidRPr="006C3D09">
        <w:rPr>
          <w:rFonts w:ascii="Times New Roman" w:hAnsi="Times New Roman" w:cs="Times New Roman"/>
        </w:rPr>
        <w:t xml:space="preserve">, </w:t>
      </w:r>
    </w:p>
    <w:p w14:paraId="00528174" w14:textId="77777777" w:rsidR="00CB60FF" w:rsidRDefault="00F476BC" w:rsidP="00CA75C3">
      <w:pPr>
        <w:pStyle w:val="NoSpacing"/>
        <w:ind w:left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(iv) increasing intersegmental collaboration, </w:t>
      </w:r>
    </w:p>
    <w:p w14:paraId="783CF456" w14:textId="77777777" w:rsidR="003B7DDC" w:rsidRDefault="00986F73" w:rsidP="00CA75C3">
      <w:pPr>
        <w:pStyle w:val="NoSpacing"/>
        <w:ind w:left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(v) </w:t>
      </w:r>
      <w:r w:rsidR="00F476BC" w:rsidRPr="006C3D09">
        <w:rPr>
          <w:rFonts w:ascii="Times New Roman" w:hAnsi="Times New Roman" w:cs="Times New Roman"/>
        </w:rPr>
        <w:t xml:space="preserve">support workforce preparation and high demand career prep, </w:t>
      </w:r>
    </w:p>
    <w:p w14:paraId="55768619" w14:textId="77777777" w:rsidR="00F476BC" w:rsidRPr="006C3D09" w:rsidRDefault="00F476BC" w:rsidP="00CA75C3">
      <w:pPr>
        <w:pStyle w:val="NoSpacing"/>
        <w:ind w:left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(vi) increase access to online course offerings (triple offerings from sister campuses). </w:t>
      </w:r>
    </w:p>
    <w:p w14:paraId="3F0342E0" w14:textId="77777777" w:rsidR="004D3163" w:rsidRDefault="004D3163" w:rsidP="006C3D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</w:t>
      </w:r>
      <w:r w:rsidRPr="006C3D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Pr="006C3D09">
        <w:rPr>
          <w:rFonts w:ascii="Times New Roman" w:hAnsi="Times New Roman" w:cs="Times New Roman"/>
        </w:rPr>
        <w:t xml:space="preserve"> more defined than others, some </w:t>
      </w:r>
      <w:r>
        <w:rPr>
          <w:rFonts w:ascii="Times New Roman" w:hAnsi="Times New Roman" w:cs="Times New Roman"/>
        </w:rPr>
        <w:t xml:space="preserve">are </w:t>
      </w:r>
      <w:r w:rsidRPr="006C3D09">
        <w:rPr>
          <w:rFonts w:ascii="Times New Roman" w:hAnsi="Times New Roman" w:cs="Times New Roman"/>
        </w:rPr>
        <w:t xml:space="preserve">aspirational, </w:t>
      </w:r>
      <w:r>
        <w:rPr>
          <w:rFonts w:ascii="Times New Roman" w:hAnsi="Times New Roman" w:cs="Times New Roman"/>
        </w:rPr>
        <w:t xml:space="preserve">and some are </w:t>
      </w:r>
      <w:r w:rsidRPr="006C3D09">
        <w:rPr>
          <w:rFonts w:ascii="Times New Roman" w:hAnsi="Times New Roman" w:cs="Times New Roman"/>
        </w:rPr>
        <w:t xml:space="preserve">well-established: </w:t>
      </w:r>
    </w:p>
    <w:p w14:paraId="7B296463" w14:textId="77777777" w:rsidR="00F476BC" w:rsidRPr="006C3D09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It </w:t>
      </w:r>
      <w:r w:rsidR="00CB60FF">
        <w:rPr>
          <w:rFonts w:ascii="Times New Roman" w:hAnsi="Times New Roman" w:cs="Times New Roman"/>
        </w:rPr>
        <w:t xml:space="preserve">is </w:t>
      </w:r>
      <w:r w:rsidR="00CB60FF" w:rsidRPr="006C3D09">
        <w:rPr>
          <w:rFonts w:ascii="Times New Roman" w:hAnsi="Times New Roman" w:cs="Times New Roman"/>
        </w:rPr>
        <w:t>good for planning</w:t>
      </w:r>
      <w:r w:rsidR="00CB60FF">
        <w:rPr>
          <w:rFonts w:ascii="Times New Roman" w:hAnsi="Times New Roman" w:cs="Times New Roman"/>
        </w:rPr>
        <w:t>---</w:t>
      </w:r>
      <w:r w:rsidR="00CB60FF" w:rsidRPr="006C3D09">
        <w:rPr>
          <w:rFonts w:ascii="Times New Roman" w:hAnsi="Times New Roman" w:cs="Times New Roman"/>
        </w:rPr>
        <w:t xml:space="preserve"> a long-term CSU request</w:t>
      </w:r>
      <w:r w:rsidR="00CB60FF">
        <w:rPr>
          <w:rFonts w:ascii="Times New Roman" w:hAnsi="Times New Roman" w:cs="Times New Roman"/>
        </w:rPr>
        <w:t xml:space="preserve">---and </w:t>
      </w:r>
      <w:r w:rsidR="00CB60FF" w:rsidRPr="006C3D09">
        <w:rPr>
          <w:rFonts w:ascii="Times New Roman" w:hAnsi="Times New Roman" w:cs="Times New Roman"/>
        </w:rPr>
        <w:t xml:space="preserve"> </w:t>
      </w:r>
      <w:r w:rsidRPr="006C3D09">
        <w:rPr>
          <w:rFonts w:ascii="Times New Roman" w:hAnsi="Times New Roman" w:cs="Times New Roman"/>
        </w:rPr>
        <w:t xml:space="preserve">provides a base for interaction with the legislature regarding budget. </w:t>
      </w:r>
    </w:p>
    <w:p w14:paraId="7DFD2212" w14:textId="77777777" w:rsidR="006C3D09" w:rsidRDefault="006C3D09" w:rsidP="006C3D09">
      <w:pPr>
        <w:pStyle w:val="NoSpacing"/>
        <w:rPr>
          <w:rFonts w:ascii="Times New Roman" w:hAnsi="Times New Roman" w:cs="Times New Roman"/>
        </w:rPr>
      </w:pPr>
    </w:p>
    <w:p w14:paraId="73111355" w14:textId="77777777" w:rsidR="00F476BC" w:rsidRPr="005070A5" w:rsidRDefault="00F476BC" w:rsidP="006C3D09">
      <w:pPr>
        <w:pStyle w:val="NoSpacing"/>
        <w:rPr>
          <w:rFonts w:ascii="Times New Roman" w:hAnsi="Times New Roman" w:cs="Times New Roman"/>
          <w:b/>
        </w:rPr>
      </w:pPr>
      <w:r w:rsidRPr="00986F73">
        <w:rPr>
          <w:rFonts w:ascii="Times New Roman" w:hAnsi="Times New Roman" w:cs="Times New Roman"/>
          <w:b/>
        </w:rPr>
        <w:t>EVC Sylvia Alva</w:t>
      </w:r>
      <w:r w:rsidR="0092782E">
        <w:rPr>
          <w:rFonts w:ascii="Times New Roman" w:hAnsi="Times New Roman" w:cs="Times New Roman"/>
          <w:b/>
        </w:rPr>
        <w:t xml:space="preserve"> </w:t>
      </w:r>
      <w:r w:rsidRPr="00986F73">
        <w:rPr>
          <w:rFonts w:ascii="Times New Roman" w:hAnsi="Times New Roman" w:cs="Times New Roman"/>
          <w:b/>
        </w:rPr>
        <w:t xml:space="preserve">Five </w:t>
      </w:r>
      <w:r w:rsidR="00986F73">
        <w:rPr>
          <w:rFonts w:ascii="Times New Roman" w:hAnsi="Times New Roman" w:cs="Times New Roman"/>
          <w:b/>
        </w:rPr>
        <w:t>Q</w:t>
      </w:r>
      <w:r w:rsidRPr="00986F73">
        <w:rPr>
          <w:rFonts w:ascii="Times New Roman" w:hAnsi="Times New Roman" w:cs="Times New Roman"/>
          <w:b/>
        </w:rPr>
        <w:t>uestions</w:t>
      </w:r>
      <w:r w:rsidRPr="006C3D09">
        <w:rPr>
          <w:rFonts w:ascii="Times New Roman" w:hAnsi="Times New Roman" w:cs="Times New Roman"/>
        </w:rPr>
        <w:t xml:space="preserve">: </w:t>
      </w:r>
    </w:p>
    <w:p w14:paraId="711F9B63" w14:textId="77777777" w:rsidR="00F476BC" w:rsidRPr="006C3D09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1. </w:t>
      </w:r>
      <w:r w:rsidR="00CA75C3">
        <w:rPr>
          <w:rFonts w:ascii="Times New Roman" w:hAnsi="Times New Roman" w:cs="Times New Roman"/>
        </w:rPr>
        <w:t>C</w:t>
      </w:r>
      <w:r w:rsidRPr="006C3D09">
        <w:rPr>
          <w:rFonts w:ascii="Times New Roman" w:hAnsi="Times New Roman" w:cs="Times New Roman"/>
        </w:rPr>
        <w:t>an students find their way here</w:t>
      </w:r>
      <w:r w:rsidR="004D3163">
        <w:rPr>
          <w:rFonts w:ascii="Times New Roman" w:hAnsi="Times New Roman" w:cs="Times New Roman"/>
        </w:rPr>
        <w:t>?</w:t>
      </w:r>
      <w:r w:rsidRPr="006C3D09">
        <w:rPr>
          <w:rFonts w:ascii="Times New Roman" w:hAnsi="Times New Roman" w:cs="Times New Roman"/>
        </w:rPr>
        <w:t xml:space="preserve"> </w:t>
      </w:r>
    </w:p>
    <w:p w14:paraId="64991A60" w14:textId="77777777" w:rsidR="00F476BC" w:rsidRPr="006C3D09" w:rsidRDefault="00F476BC" w:rsidP="003B7DDC">
      <w:pPr>
        <w:pStyle w:val="NoSpacing"/>
        <w:ind w:firstLine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a. Pertains to Cal-GETC </w:t>
      </w:r>
    </w:p>
    <w:p w14:paraId="6095C6FD" w14:textId="77777777" w:rsidR="00F476BC" w:rsidRPr="006C3D09" w:rsidRDefault="00F476BC" w:rsidP="003B7DDC">
      <w:pPr>
        <w:pStyle w:val="NoSpacing"/>
        <w:ind w:firstLine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b. Loss of minimum eligibility tools (ACT/SAT) </w:t>
      </w:r>
    </w:p>
    <w:p w14:paraId="6CFFCA40" w14:textId="77777777" w:rsidR="00F476BC" w:rsidRPr="006C3D09" w:rsidRDefault="00F476BC" w:rsidP="003B7DDC">
      <w:pPr>
        <w:pStyle w:val="NoSpacing"/>
        <w:ind w:firstLine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c. Dual-admissions </w:t>
      </w:r>
    </w:p>
    <w:p w14:paraId="2BFEDA22" w14:textId="77777777" w:rsidR="00F476BC" w:rsidRPr="006C3D09" w:rsidRDefault="00F476BC" w:rsidP="003B7DDC">
      <w:pPr>
        <w:pStyle w:val="NoSpacing"/>
        <w:ind w:firstLine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d. Enrollment Management </w:t>
      </w:r>
    </w:p>
    <w:p w14:paraId="6B031EF1" w14:textId="77777777" w:rsidR="00F476BC" w:rsidRPr="006C3D09" w:rsidRDefault="00F476BC" w:rsidP="003B7DDC">
      <w:pPr>
        <w:pStyle w:val="NoSpacing"/>
        <w:ind w:firstLine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e. Uneven demand </w:t>
      </w:r>
    </w:p>
    <w:p w14:paraId="71C70686" w14:textId="77777777" w:rsidR="00F476BC" w:rsidRPr="006C3D09" w:rsidRDefault="00F476BC" w:rsidP="003B7DDC">
      <w:pPr>
        <w:pStyle w:val="NoSpacing"/>
        <w:ind w:firstLine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f. Geographic constraints on students </w:t>
      </w:r>
    </w:p>
    <w:p w14:paraId="7B522FFF" w14:textId="77777777" w:rsidR="00F476BC" w:rsidRPr="006C3D09" w:rsidRDefault="004D3163" w:rsidP="003B7DDC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476BC" w:rsidRPr="006C3D09">
        <w:rPr>
          <w:rFonts w:ascii="Times New Roman" w:hAnsi="Times New Roman" w:cs="Times New Roman"/>
        </w:rPr>
        <w:t>Comment: graduate pathways could be clearer</w:t>
      </w:r>
      <w:r>
        <w:rPr>
          <w:rFonts w:ascii="Times New Roman" w:hAnsi="Times New Roman" w:cs="Times New Roman"/>
        </w:rPr>
        <w:t>)</w:t>
      </w:r>
      <w:r w:rsidR="00F476BC" w:rsidRPr="006C3D09">
        <w:rPr>
          <w:rFonts w:ascii="Times New Roman" w:hAnsi="Times New Roman" w:cs="Times New Roman"/>
        </w:rPr>
        <w:t xml:space="preserve"> </w:t>
      </w:r>
    </w:p>
    <w:p w14:paraId="1B084A71" w14:textId="77777777" w:rsidR="00F476BC" w:rsidRPr="006C3D09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2. </w:t>
      </w:r>
      <w:r w:rsidR="00CA75C3">
        <w:rPr>
          <w:rFonts w:ascii="Times New Roman" w:hAnsi="Times New Roman" w:cs="Times New Roman"/>
        </w:rPr>
        <w:t>C</w:t>
      </w:r>
      <w:r w:rsidRPr="006C3D09">
        <w:rPr>
          <w:rFonts w:ascii="Times New Roman" w:hAnsi="Times New Roman" w:cs="Times New Roman"/>
        </w:rPr>
        <w:t>an students learn here</w:t>
      </w:r>
      <w:r w:rsidR="004D3163">
        <w:rPr>
          <w:rFonts w:ascii="Times New Roman" w:hAnsi="Times New Roman" w:cs="Times New Roman"/>
        </w:rPr>
        <w:t>?</w:t>
      </w:r>
      <w:r w:rsidRPr="006C3D09">
        <w:rPr>
          <w:rFonts w:ascii="Times New Roman" w:hAnsi="Times New Roman" w:cs="Times New Roman"/>
        </w:rPr>
        <w:t xml:space="preserve"> </w:t>
      </w:r>
    </w:p>
    <w:p w14:paraId="281C8DD2" w14:textId="77777777" w:rsidR="00F476BC" w:rsidRPr="006C3D09" w:rsidRDefault="00F476BC" w:rsidP="003B7DDC">
      <w:pPr>
        <w:pStyle w:val="NoSpacing"/>
        <w:ind w:left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a. Equity priorities (GI 2025) </w:t>
      </w:r>
    </w:p>
    <w:p w14:paraId="6A7970AD" w14:textId="77777777" w:rsidR="004D3163" w:rsidRDefault="00F476BC" w:rsidP="003B7DDC">
      <w:pPr>
        <w:pStyle w:val="NoSpacing"/>
        <w:ind w:left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>b. Academic preparation (are students prepared to excel; how can we support those who are less well prepared?</w:t>
      </w:r>
    </w:p>
    <w:p w14:paraId="4FE49050" w14:textId="77777777" w:rsidR="00F476BC" w:rsidRPr="006C3D09" w:rsidRDefault="00F476BC" w:rsidP="003B7DDC">
      <w:pPr>
        <w:pStyle w:val="NoSpacing"/>
        <w:ind w:left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c. Reducing DFW rates </w:t>
      </w:r>
    </w:p>
    <w:p w14:paraId="0E812362" w14:textId="77777777" w:rsidR="00F476BC" w:rsidRPr="006C3D09" w:rsidRDefault="00F476BC" w:rsidP="003B7DDC">
      <w:pPr>
        <w:pStyle w:val="NoSpacing"/>
        <w:ind w:left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d. Early start – how can we better use summer before and after their first year? </w:t>
      </w:r>
    </w:p>
    <w:p w14:paraId="0B3723AC" w14:textId="77777777" w:rsidR="006C3D09" w:rsidRPr="006C3D09" w:rsidRDefault="006C3D09" w:rsidP="00CA75C3">
      <w:pPr>
        <w:pStyle w:val="NoSpacing"/>
        <w:ind w:left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f. Doctorate of Public Health – legislation is on the governor’s desk despite introduction in an abbreviated legislative session. </w:t>
      </w:r>
    </w:p>
    <w:p w14:paraId="5D603262" w14:textId="77777777" w:rsidR="006C3D09" w:rsidRPr="006C3D09" w:rsidRDefault="006C3D09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3. </w:t>
      </w:r>
      <w:r w:rsidR="00CA75C3">
        <w:rPr>
          <w:rFonts w:ascii="Times New Roman" w:hAnsi="Times New Roman" w:cs="Times New Roman"/>
        </w:rPr>
        <w:t>Are</w:t>
      </w:r>
      <w:r w:rsidRPr="006C3D09">
        <w:rPr>
          <w:rFonts w:ascii="Times New Roman" w:hAnsi="Times New Roman" w:cs="Times New Roman"/>
        </w:rPr>
        <w:t xml:space="preserve"> students invited to participate in their own learning</w:t>
      </w:r>
      <w:r w:rsidR="004D3163">
        <w:rPr>
          <w:rFonts w:ascii="Times New Roman" w:hAnsi="Times New Roman" w:cs="Times New Roman"/>
        </w:rPr>
        <w:t>?</w:t>
      </w:r>
    </w:p>
    <w:p w14:paraId="4E79BC95" w14:textId="77777777" w:rsidR="006C3D09" w:rsidRPr="006C3D09" w:rsidRDefault="006C3D09" w:rsidP="003B7DDC">
      <w:pPr>
        <w:pStyle w:val="NoSpacing"/>
        <w:ind w:left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a. Clear curricular maps </w:t>
      </w:r>
    </w:p>
    <w:p w14:paraId="2F4477F2" w14:textId="77777777" w:rsidR="006C3D09" w:rsidRPr="006C3D09" w:rsidRDefault="006C3D09" w:rsidP="003B7DDC">
      <w:pPr>
        <w:pStyle w:val="NoSpacing"/>
        <w:ind w:left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>b. Experiential maps (beyond the degree</w:t>
      </w:r>
      <w:r w:rsidR="000E639C">
        <w:rPr>
          <w:rFonts w:ascii="Times New Roman" w:hAnsi="Times New Roman" w:cs="Times New Roman"/>
        </w:rPr>
        <w:t xml:space="preserve">, </w:t>
      </w:r>
      <w:r w:rsidRPr="006C3D09">
        <w:rPr>
          <w:rFonts w:ascii="Times New Roman" w:hAnsi="Times New Roman" w:cs="Times New Roman"/>
        </w:rPr>
        <w:t>co-curricular content</w:t>
      </w:r>
      <w:r w:rsidR="004D3163">
        <w:rPr>
          <w:rFonts w:ascii="Times New Roman" w:hAnsi="Times New Roman" w:cs="Times New Roman"/>
        </w:rPr>
        <w:t>,</w:t>
      </w:r>
      <w:r w:rsidRPr="006C3D09">
        <w:rPr>
          <w:rFonts w:ascii="Times New Roman" w:hAnsi="Times New Roman" w:cs="Times New Roman"/>
        </w:rPr>
        <w:t xml:space="preserve"> internships; </w:t>
      </w:r>
    </w:p>
    <w:p w14:paraId="70BA5441" w14:textId="77777777" w:rsidR="006C3D09" w:rsidRPr="006C3D09" w:rsidRDefault="006C3D09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4. </w:t>
      </w:r>
      <w:r w:rsidR="00CA75C3">
        <w:rPr>
          <w:rFonts w:ascii="Times New Roman" w:hAnsi="Times New Roman" w:cs="Times New Roman"/>
        </w:rPr>
        <w:t>D</w:t>
      </w:r>
      <w:r w:rsidRPr="006C3D09">
        <w:rPr>
          <w:rFonts w:ascii="Times New Roman" w:hAnsi="Times New Roman" w:cs="Times New Roman"/>
        </w:rPr>
        <w:t>o students feel like they belong on their campus/in their program</w:t>
      </w:r>
      <w:r w:rsidR="004D3163">
        <w:rPr>
          <w:rFonts w:ascii="Times New Roman" w:hAnsi="Times New Roman" w:cs="Times New Roman"/>
        </w:rPr>
        <w:t>?</w:t>
      </w:r>
      <w:r w:rsidRPr="006C3D09">
        <w:rPr>
          <w:rFonts w:ascii="Times New Roman" w:hAnsi="Times New Roman" w:cs="Times New Roman"/>
        </w:rPr>
        <w:t xml:space="preserve"> </w:t>
      </w:r>
    </w:p>
    <w:p w14:paraId="373F3D8C" w14:textId="77777777" w:rsidR="006C3D09" w:rsidRPr="006C3D09" w:rsidRDefault="006C3D09" w:rsidP="003B7DDC">
      <w:pPr>
        <w:pStyle w:val="NoSpacing"/>
        <w:ind w:left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>a. Focus on racial and ethnic differences in levels of engagement</w:t>
      </w:r>
      <w:r w:rsidR="004D3163">
        <w:rPr>
          <w:rFonts w:ascii="Times New Roman" w:hAnsi="Times New Roman" w:cs="Times New Roman"/>
        </w:rPr>
        <w:t xml:space="preserve">, </w:t>
      </w:r>
      <w:r w:rsidRPr="006C3D09">
        <w:rPr>
          <w:rFonts w:ascii="Times New Roman" w:hAnsi="Times New Roman" w:cs="Times New Roman"/>
        </w:rPr>
        <w:t xml:space="preserve">sub-group differences b. </w:t>
      </w:r>
      <w:r w:rsidR="004D3163">
        <w:rPr>
          <w:rFonts w:ascii="Times New Roman" w:hAnsi="Times New Roman" w:cs="Times New Roman"/>
        </w:rPr>
        <w:t>L</w:t>
      </w:r>
      <w:r w:rsidRPr="006C3D09">
        <w:rPr>
          <w:rFonts w:ascii="Times New Roman" w:hAnsi="Times New Roman" w:cs="Times New Roman"/>
        </w:rPr>
        <w:t xml:space="preserve">ook directly at system issues that create barriers and impediments to engagement. </w:t>
      </w:r>
    </w:p>
    <w:p w14:paraId="1028E81F" w14:textId="77777777" w:rsidR="006C3D09" w:rsidRPr="006C3D09" w:rsidRDefault="004D3163" w:rsidP="003B7DD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3D09" w:rsidRPr="006C3D09">
        <w:rPr>
          <w:rFonts w:ascii="Times New Roman" w:hAnsi="Times New Roman" w:cs="Times New Roman"/>
        </w:rPr>
        <w:t xml:space="preserve">Comment: Include in High-Impact Practices (such as research engagement w/ supervision) </w:t>
      </w:r>
    </w:p>
    <w:p w14:paraId="0C5DB2F3" w14:textId="77777777" w:rsidR="006C3D09" w:rsidRPr="006C3D09" w:rsidRDefault="004D3163" w:rsidP="003B7DD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3D09" w:rsidRPr="006C3D09">
        <w:rPr>
          <w:rFonts w:ascii="Times New Roman" w:hAnsi="Times New Roman" w:cs="Times New Roman"/>
        </w:rPr>
        <w:t xml:space="preserve">Comment: </w:t>
      </w:r>
      <w:r w:rsidR="000E639C">
        <w:rPr>
          <w:rFonts w:ascii="Times New Roman" w:hAnsi="Times New Roman" w:cs="Times New Roman"/>
        </w:rPr>
        <w:t>S</w:t>
      </w:r>
      <w:r w:rsidR="006C3D09" w:rsidRPr="006C3D09">
        <w:rPr>
          <w:rFonts w:ascii="Times New Roman" w:hAnsi="Times New Roman" w:cs="Times New Roman"/>
        </w:rPr>
        <w:t>tudent affairs typically play a large role in belongingness and engagement with the campus.</w:t>
      </w:r>
      <w:r>
        <w:rPr>
          <w:rFonts w:ascii="Times New Roman" w:hAnsi="Times New Roman" w:cs="Times New Roman"/>
        </w:rPr>
        <w:t>)</w:t>
      </w:r>
      <w:r w:rsidR="006C3D09" w:rsidRPr="006C3D09">
        <w:rPr>
          <w:rFonts w:ascii="Times New Roman" w:hAnsi="Times New Roman" w:cs="Times New Roman"/>
        </w:rPr>
        <w:t xml:space="preserve"> </w:t>
      </w:r>
    </w:p>
    <w:p w14:paraId="01A6C4E9" w14:textId="77777777" w:rsidR="006C3D09" w:rsidRPr="006C3D09" w:rsidRDefault="006C3D09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lastRenderedPageBreak/>
        <w:t xml:space="preserve">5. </w:t>
      </w:r>
      <w:r w:rsidR="00CA75C3">
        <w:rPr>
          <w:rFonts w:ascii="Times New Roman" w:hAnsi="Times New Roman" w:cs="Times New Roman"/>
        </w:rPr>
        <w:t>H</w:t>
      </w:r>
      <w:r w:rsidRPr="006C3D09">
        <w:rPr>
          <w:rFonts w:ascii="Times New Roman" w:hAnsi="Times New Roman" w:cs="Times New Roman"/>
        </w:rPr>
        <w:t xml:space="preserve">ow </w:t>
      </w:r>
      <w:r w:rsidR="00CA75C3">
        <w:rPr>
          <w:rFonts w:ascii="Times New Roman" w:hAnsi="Times New Roman" w:cs="Times New Roman"/>
        </w:rPr>
        <w:t xml:space="preserve">are </w:t>
      </w:r>
      <w:r w:rsidRPr="006C3D09">
        <w:rPr>
          <w:rFonts w:ascii="Times New Roman" w:hAnsi="Times New Roman" w:cs="Times New Roman"/>
        </w:rPr>
        <w:t xml:space="preserve">people and </w:t>
      </w:r>
      <w:r w:rsidR="00CA75C3">
        <w:rPr>
          <w:rFonts w:ascii="Times New Roman" w:hAnsi="Times New Roman" w:cs="Times New Roman"/>
        </w:rPr>
        <w:t xml:space="preserve">the </w:t>
      </w:r>
      <w:r w:rsidRPr="006C3D09">
        <w:rPr>
          <w:rFonts w:ascii="Times New Roman" w:hAnsi="Times New Roman" w:cs="Times New Roman"/>
        </w:rPr>
        <w:t xml:space="preserve">system serving them doing? </w:t>
      </w:r>
    </w:p>
    <w:p w14:paraId="75DCCDB2" w14:textId="77777777" w:rsidR="006C3D09" w:rsidRPr="006C3D09" w:rsidRDefault="006C3D09" w:rsidP="003B7DDC">
      <w:pPr>
        <w:pStyle w:val="NoSpacing"/>
        <w:ind w:left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a. Faculty &amp; Staff health </w:t>
      </w:r>
    </w:p>
    <w:p w14:paraId="32CC2891" w14:textId="77777777" w:rsidR="006C3D09" w:rsidRPr="006C3D09" w:rsidRDefault="006C3D09" w:rsidP="003B7DDC">
      <w:pPr>
        <w:pStyle w:val="NoSpacing"/>
        <w:ind w:left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b. Title IX group </w:t>
      </w:r>
    </w:p>
    <w:p w14:paraId="5D3D0E47" w14:textId="77777777" w:rsidR="006C3D09" w:rsidRPr="006C3D09" w:rsidRDefault="006C3D09" w:rsidP="003B7DDC">
      <w:pPr>
        <w:pStyle w:val="NoSpacing"/>
        <w:ind w:left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c. Strengths and gaps in support for both students and employees </w:t>
      </w:r>
    </w:p>
    <w:p w14:paraId="0A599E33" w14:textId="77777777" w:rsidR="003915E5" w:rsidRDefault="006C3D09" w:rsidP="003B7DDC">
      <w:pPr>
        <w:pStyle w:val="NoSpacing"/>
        <w:ind w:left="72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>d. How is the system itself doing</w:t>
      </w:r>
      <w:r w:rsidR="003915E5">
        <w:rPr>
          <w:rFonts w:ascii="Times New Roman" w:hAnsi="Times New Roman" w:cs="Times New Roman"/>
        </w:rPr>
        <w:t>?</w:t>
      </w:r>
    </w:p>
    <w:p w14:paraId="2B16CD4A" w14:textId="77777777" w:rsidR="006C3D09" w:rsidRPr="006C3D09" w:rsidRDefault="003915E5" w:rsidP="000E639C">
      <w:pPr>
        <w:pStyle w:val="NoSpacing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Compact is</w:t>
      </w:r>
      <w:r w:rsidR="006C3D09" w:rsidRPr="006C3D09">
        <w:rPr>
          <w:rFonts w:ascii="Times New Roman" w:hAnsi="Times New Roman" w:cs="Times New Roman"/>
        </w:rPr>
        <w:t xml:space="preserve"> </w:t>
      </w:r>
      <w:r w:rsidR="00CA75C3">
        <w:rPr>
          <w:rFonts w:ascii="Times New Roman" w:hAnsi="Times New Roman" w:cs="Times New Roman"/>
        </w:rPr>
        <w:t>viewed as a</w:t>
      </w:r>
      <w:r w:rsidR="006C3D09" w:rsidRPr="006C3D09">
        <w:rPr>
          <w:rFonts w:ascii="Times New Roman" w:hAnsi="Times New Roman" w:cs="Times New Roman"/>
        </w:rPr>
        <w:t xml:space="preserve"> fiscal floor; CA legislature may see </w:t>
      </w:r>
      <w:r>
        <w:rPr>
          <w:rFonts w:ascii="Times New Roman" w:hAnsi="Times New Roman" w:cs="Times New Roman"/>
        </w:rPr>
        <w:t>metrics</w:t>
      </w:r>
      <w:r w:rsidR="006C3D09" w:rsidRPr="006C3D09">
        <w:rPr>
          <w:rFonts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>“</w:t>
      </w:r>
      <w:r w:rsidR="006C3D09" w:rsidRPr="006C3D09">
        <w:rPr>
          <w:rFonts w:ascii="Times New Roman" w:hAnsi="Times New Roman" w:cs="Times New Roman"/>
        </w:rPr>
        <w:t>deliverables</w:t>
      </w:r>
      <w:r>
        <w:rPr>
          <w:rFonts w:ascii="Times New Roman" w:hAnsi="Times New Roman" w:cs="Times New Roman"/>
        </w:rPr>
        <w:t>”</w:t>
      </w:r>
    </w:p>
    <w:p w14:paraId="24CE63A8" w14:textId="77777777" w:rsidR="00F476BC" w:rsidRPr="006C3D09" w:rsidRDefault="00F476BC" w:rsidP="006C3D09">
      <w:pPr>
        <w:pStyle w:val="NoSpacing"/>
        <w:rPr>
          <w:rFonts w:ascii="Times New Roman" w:hAnsi="Times New Roman" w:cs="Times New Roman"/>
        </w:rPr>
      </w:pPr>
    </w:p>
    <w:p w14:paraId="1CD1DA5B" w14:textId="77777777" w:rsidR="00986F73" w:rsidRPr="00325F6E" w:rsidRDefault="00F476BC" w:rsidP="00986F73">
      <w:pPr>
        <w:pStyle w:val="NoSpacing"/>
        <w:rPr>
          <w:rFonts w:ascii="Times New Roman" w:hAnsi="Times New Roman" w:cs="Times New Roman"/>
          <w:b/>
        </w:rPr>
      </w:pPr>
      <w:r w:rsidRPr="00325F6E">
        <w:rPr>
          <w:rFonts w:ascii="Times New Roman" w:hAnsi="Times New Roman" w:cs="Times New Roman"/>
          <w:b/>
        </w:rPr>
        <w:t>Title IX</w:t>
      </w:r>
      <w:r w:rsidRPr="006C3D09">
        <w:rPr>
          <w:rFonts w:ascii="Times New Roman" w:hAnsi="Times New Roman" w:cs="Times New Roman"/>
        </w:rPr>
        <w:t xml:space="preserve">:  </w:t>
      </w:r>
      <w:r w:rsidR="00986F73" w:rsidRPr="00325F6E">
        <w:rPr>
          <w:rFonts w:ascii="Times New Roman" w:hAnsi="Times New Roman" w:cs="Times New Roman"/>
          <w:b/>
        </w:rPr>
        <w:t>“Institutional Response Group,” Cozen O’Conner</w:t>
      </w:r>
    </w:p>
    <w:p w14:paraId="39B2A2FC" w14:textId="77777777" w:rsidR="00F476BC" w:rsidRPr="00986F73" w:rsidRDefault="00F476BC" w:rsidP="000E639C">
      <w:pPr>
        <w:pStyle w:val="NoSpacing"/>
        <w:rPr>
          <w:rFonts w:ascii="Times New Roman" w:hAnsi="Times New Roman" w:cs="Times New Roman"/>
          <w:b/>
        </w:rPr>
      </w:pPr>
      <w:r w:rsidRPr="00986F73">
        <w:rPr>
          <w:rFonts w:ascii="Times New Roman" w:hAnsi="Times New Roman" w:cs="Times New Roman"/>
          <w:b/>
        </w:rPr>
        <w:t xml:space="preserve">Gina Maisto Smith - Chair; Leslie Gomez - Vice Chair </w:t>
      </w:r>
    </w:p>
    <w:p w14:paraId="152373CB" w14:textId="77777777" w:rsidR="00F476BC" w:rsidRPr="006C3D09" w:rsidRDefault="00986F73" w:rsidP="006C3D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</w:t>
      </w:r>
      <w:r w:rsidR="00F476BC" w:rsidRPr="006C3D09">
        <w:rPr>
          <w:rFonts w:ascii="Times New Roman" w:hAnsi="Times New Roman" w:cs="Times New Roman"/>
        </w:rPr>
        <w:t xml:space="preserve"> legal (criminal justice) and auxiliary support services (outreach, psychological services) a</w:t>
      </w:r>
      <w:r>
        <w:rPr>
          <w:rFonts w:ascii="Times New Roman" w:hAnsi="Times New Roman" w:cs="Times New Roman"/>
        </w:rPr>
        <w:t xml:space="preserve">re </w:t>
      </w:r>
      <w:r w:rsidR="00F476BC" w:rsidRPr="006C3D09">
        <w:rPr>
          <w:rFonts w:ascii="Times New Roman" w:hAnsi="Times New Roman" w:cs="Times New Roman"/>
        </w:rPr>
        <w:t>required to appropriately serve value-based institutions</w:t>
      </w:r>
      <w:r>
        <w:rPr>
          <w:rFonts w:ascii="Times New Roman" w:hAnsi="Times New Roman" w:cs="Times New Roman"/>
        </w:rPr>
        <w:t>.</w:t>
      </w:r>
      <w:r w:rsidR="00F476BC" w:rsidRPr="006C3D09">
        <w:rPr>
          <w:rFonts w:ascii="Times New Roman" w:hAnsi="Times New Roman" w:cs="Times New Roman"/>
        </w:rPr>
        <w:t xml:space="preserve"> Policies and practices have to go beyond the legal dynamics</w:t>
      </w:r>
      <w:r w:rsidR="000E639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F476BC" w:rsidRPr="006C3D09">
        <w:rPr>
          <w:rFonts w:ascii="Times New Roman" w:hAnsi="Times New Roman" w:cs="Times New Roman"/>
        </w:rPr>
        <w:t xml:space="preserve">mind, body, and spirit need to be addressed. </w:t>
      </w:r>
    </w:p>
    <w:p w14:paraId="0C1DE8D9" w14:textId="77777777" w:rsidR="00986F73" w:rsidRDefault="000E639C" w:rsidP="006C3D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986F73">
        <w:rPr>
          <w:rFonts w:ascii="Times New Roman" w:hAnsi="Times New Roman" w:cs="Times New Roman"/>
        </w:rPr>
        <w:t>The</w:t>
      </w:r>
      <w:r w:rsidR="00F476BC" w:rsidRPr="006C3D09">
        <w:rPr>
          <w:rFonts w:ascii="Times New Roman" w:hAnsi="Times New Roman" w:cs="Times New Roman"/>
        </w:rPr>
        <w:t xml:space="preserve"> Cozen Institutional Response Group has a commitment to unvarnished feedback to their client institutions</w:t>
      </w:r>
      <w:r>
        <w:rPr>
          <w:rFonts w:ascii="Times New Roman" w:hAnsi="Times New Roman" w:cs="Times New Roman"/>
        </w:rPr>
        <w:t>.”</w:t>
      </w:r>
      <w:r w:rsidR="00F476BC" w:rsidRPr="006C3D09">
        <w:rPr>
          <w:rFonts w:ascii="Times New Roman" w:hAnsi="Times New Roman" w:cs="Times New Roman"/>
        </w:rPr>
        <w:t xml:space="preserve"> </w:t>
      </w:r>
    </w:p>
    <w:p w14:paraId="727A85DA" w14:textId="77777777" w:rsidR="00F476BC" w:rsidRPr="006C3D09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Framing the conversation: </w:t>
      </w:r>
    </w:p>
    <w:p w14:paraId="616DDECD" w14:textId="77777777" w:rsidR="00F476BC" w:rsidRPr="006C3D09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1. We don’t know what we don’t know (humility: centers and refreshes) </w:t>
      </w:r>
    </w:p>
    <w:p w14:paraId="4F0939CF" w14:textId="77777777" w:rsidR="00F476BC" w:rsidRPr="006C3D09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>2. Flip the lens (empathy: recognizing who is being served)</w:t>
      </w:r>
    </w:p>
    <w:p w14:paraId="2FFBA426" w14:textId="77777777" w:rsidR="00F476BC" w:rsidRPr="006C3D09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3. Embrace the tension (accountability: speaking truth, finding the words that will be heard) </w:t>
      </w:r>
    </w:p>
    <w:p w14:paraId="63D5197F" w14:textId="77777777" w:rsidR="00F476BC" w:rsidRPr="006C3D09" w:rsidRDefault="00F476BC" w:rsidP="000E639C">
      <w:pPr>
        <w:pStyle w:val="NoSpacing"/>
        <w:ind w:left="270" w:hanging="270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>4. Together we are better than the sum of our parts (there is a need to have an umbrella view</w:t>
      </w:r>
      <w:r w:rsidR="00986F73">
        <w:rPr>
          <w:rFonts w:ascii="Times New Roman" w:hAnsi="Times New Roman" w:cs="Times New Roman"/>
        </w:rPr>
        <w:t>/</w:t>
      </w:r>
      <w:r w:rsidRPr="006C3D09">
        <w:rPr>
          <w:rFonts w:ascii="Times New Roman" w:hAnsi="Times New Roman" w:cs="Times New Roman"/>
        </w:rPr>
        <w:t xml:space="preserve"> crosswalks of understanding around harassment and discrimination) </w:t>
      </w:r>
    </w:p>
    <w:p w14:paraId="01401939" w14:textId="77777777" w:rsidR="00F476BC" w:rsidRPr="006C3D09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Context </w:t>
      </w:r>
    </w:p>
    <w:p w14:paraId="13144B65" w14:textId="77777777" w:rsidR="00F476BC" w:rsidRPr="006C3D09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1. Regulatory framework (civil, criminal, institutional) </w:t>
      </w:r>
    </w:p>
    <w:p w14:paraId="0C9D1133" w14:textId="77777777" w:rsidR="00F476BC" w:rsidRPr="006C3D09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2. Dynamics of trauma and sexual and gender-based violence </w:t>
      </w:r>
    </w:p>
    <w:p w14:paraId="00A996A7" w14:textId="77777777" w:rsidR="00F476BC" w:rsidRPr="006C3D09" w:rsidRDefault="000E639C" w:rsidP="000E639C">
      <w:pPr>
        <w:pStyle w:val="NoSpacing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476BC" w:rsidRPr="006C3D09">
        <w:rPr>
          <w:rFonts w:ascii="Times New Roman" w:hAnsi="Times New Roman" w:cs="Times New Roman"/>
        </w:rPr>
        <w:t xml:space="preserve">Each complainant is unique and each case involves a variety of choices concerning agency and autonomy at various levels of action/process. </w:t>
      </w:r>
    </w:p>
    <w:p w14:paraId="05053A95" w14:textId="77777777" w:rsidR="00F476BC" w:rsidRPr="006C3D09" w:rsidRDefault="000E639C" w:rsidP="006C3D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476BC" w:rsidRPr="006C3D09">
        <w:rPr>
          <w:rFonts w:ascii="Times New Roman" w:hAnsi="Times New Roman" w:cs="Times New Roman"/>
        </w:rPr>
        <w:t xml:space="preserve">There is a care-compliance continuum (à wrap-around care) </w:t>
      </w:r>
    </w:p>
    <w:p w14:paraId="34A520EA" w14:textId="77777777" w:rsidR="00F476BC" w:rsidRPr="006C3D09" w:rsidRDefault="000E639C" w:rsidP="006C3D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476BC" w:rsidRPr="006C3D09">
        <w:rPr>
          <w:rFonts w:ascii="Times New Roman" w:hAnsi="Times New Roman" w:cs="Times New Roman"/>
        </w:rPr>
        <w:t>. Timeline: March report to BoT</w:t>
      </w:r>
    </w:p>
    <w:p w14:paraId="3DEC6FDE" w14:textId="77777777" w:rsidR="00F476BC" w:rsidRPr="006C3D09" w:rsidRDefault="00F476BC" w:rsidP="006C3D09">
      <w:pPr>
        <w:pStyle w:val="NoSpacing"/>
        <w:rPr>
          <w:rFonts w:ascii="Times New Roman" w:hAnsi="Times New Roman" w:cs="Times New Roman"/>
        </w:rPr>
      </w:pPr>
    </w:p>
    <w:p w14:paraId="328C790E" w14:textId="77777777" w:rsidR="00F476BC" w:rsidRPr="00986F73" w:rsidRDefault="006C3D09" w:rsidP="006C3D09">
      <w:pPr>
        <w:pStyle w:val="NoSpacing"/>
        <w:rPr>
          <w:rFonts w:ascii="Times New Roman" w:hAnsi="Times New Roman" w:cs="Times New Roman"/>
          <w:b/>
        </w:rPr>
      </w:pPr>
      <w:r w:rsidRPr="00325F6E">
        <w:rPr>
          <w:rFonts w:ascii="Times New Roman" w:hAnsi="Times New Roman" w:cs="Times New Roman"/>
          <w:b/>
        </w:rPr>
        <w:t>First Reading Resolutions</w:t>
      </w:r>
    </w:p>
    <w:p w14:paraId="520CED05" w14:textId="59D94D38" w:rsidR="00986F73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>10.1 On the Intersegmental Committee of Academic Senates (ICAS) Cal-GETC Proposal: Feedback AS-3565-22/APEP</w:t>
      </w:r>
      <w:r w:rsidR="00D96C6F">
        <w:rPr>
          <w:rFonts w:ascii="Times New Roman" w:hAnsi="Times New Roman" w:cs="Times New Roman"/>
        </w:rPr>
        <w:t xml:space="preserve"> (Subsequently approved)</w:t>
      </w:r>
      <w:r w:rsidRPr="006C3D09">
        <w:rPr>
          <w:rFonts w:ascii="Times New Roman" w:hAnsi="Times New Roman" w:cs="Times New Roman"/>
        </w:rPr>
        <w:t xml:space="preserve"> </w:t>
      </w:r>
    </w:p>
    <w:p w14:paraId="54EDB7F9" w14:textId="77777777" w:rsidR="00F476BC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10.2 Considering the Campus Impacts of AB 928 AS-3566-22/AA/FA </w:t>
      </w:r>
    </w:p>
    <w:p w14:paraId="3EB7BF85" w14:textId="77777777" w:rsidR="00F476BC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10.3 Support for evaluating the CSU Course Equity Portal AS-3577-22/FA/JEDI </w:t>
      </w:r>
    </w:p>
    <w:p w14:paraId="2A3B3905" w14:textId="77777777" w:rsidR="00CA75C3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>10.4 Clarifying AB 927 in the Event of an Intersegmental Impasse AS-3567-22/FGA/AA</w:t>
      </w:r>
    </w:p>
    <w:p w14:paraId="3D073747" w14:textId="77777777" w:rsidR="00CA75C3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 10.5 The Role of Faculty in Protecting Fair Faculty Workload in the CSU AS-3568-22/FA </w:t>
      </w:r>
    </w:p>
    <w:p w14:paraId="58E07D0D" w14:textId="77777777" w:rsidR="00F476BC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10.6 On the Intersegmental Committee of Academic Senates Cal-GETC Proposal: Action AS-3569-22/APEP </w:t>
      </w:r>
    </w:p>
    <w:p w14:paraId="372A48E5" w14:textId="77777777" w:rsidR="00F476BC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10.7 Requesting Extension of WSCUC Authorization of Remote Teaching AS-3570-22/FA </w:t>
      </w:r>
    </w:p>
    <w:p w14:paraId="6C3B459E" w14:textId="77777777" w:rsidR="00F476BC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10.8 Engaging Intersegmental Discussions Regarding College Preparatory Coursework in Mathematics (Area C) AS-3571-22/APEP </w:t>
      </w:r>
    </w:p>
    <w:p w14:paraId="38EAA2BA" w14:textId="77777777" w:rsidR="00CA75C3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>10.9 Proclaiming the Personhood and Rights of Women AS-3572-22/FA AS-3568-22/FA</w:t>
      </w:r>
    </w:p>
    <w:p w14:paraId="1C719BCE" w14:textId="77777777" w:rsidR="000E639C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 10.10 To Adopt Gender Inclusive-Language and Titles at the California State University (CSU) AS-3573-22/AA </w:t>
      </w:r>
    </w:p>
    <w:p w14:paraId="4D72E655" w14:textId="77777777" w:rsidR="00CA75C3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>10.11 Reaffirming the Role of Campus Senates in the California State University (CSU) AS-3574-22/FA</w:t>
      </w:r>
    </w:p>
    <w:p w14:paraId="4BFB2312" w14:textId="77777777" w:rsidR="00F476BC" w:rsidRPr="006C3D09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lastRenderedPageBreak/>
        <w:t xml:space="preserve">10.12 Provision of Free Condoms to Students on California State University (CSU) Campuses AS-3575-22/FA </w:t>
      </w:r>
    </w:p>
    <w:p w14:paraId="7C7D3B5B" w14:textId="77777777" w:rsidR="00F476BC" w:rsidRPr="006C3D09" w:rsidRDefault="00F476BC" w:rsidP="006C3D09">
      <w:pPr>
        <w:pStyle w:val="NoSpacing"/>
        <w:rPr>
          <w:rFonts w:ascii="Times New Roman" w:hAnsi="Times New Roman" w:cs="Times New Roman"/>
        </w:rPr>
      </w:pPr>
      <w:r w:rsidRPr="006C3D09">
        <w:rPr>
          <w:rFonts w:ascii="Times New Roman" w:hAnsi="Times New Roman" w:cs="Times New Roman"/>
        </w:rPr>
        <w:t xml:space="preserve">10.13 Request for Ongoing Accommodations and Flexibility in the Time of COVID-19 AS-3576-22/FA </w:t>
      </w:r>
    </w:p>
    <w:p w14:paraId="6B5B1FBF" w14:textId="77777777" w:rsidR="006C3D09" w:rsidRPr="006C3D09" w:rsidRDefault="006C3D09" w:rsidP="006C3D09">
      <w:pPr>
        <w:pStyle w:val="NoSpacing"/>
        <w:rPr>
          <w:rFonts w:ascii="Times New Roman" w:hAnsi="Times New Roman" w:cs="Times New Roman"/>
        </w:rPr>
      </w:pPr>
    </w:p>
    <w:p w14:paraId="21DDCECF" w14:textId="77777777" w:rsidR="006C3D09" w:rsidRPr="006C3D09" w:rsidRDefault="00CA75C3" w:rsidP="006C3D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 about </w:t>
      </w:r>
      <w:r w:rsidR="006C3D09" w:rsidRPr="00325F6E">
        <w:rPr>
          <w:rFonts w:ascii="Times New Roman" w:hAnsi="Times New Roman" w:cs="Times New Roman"/>
          <w:b/>
        </w:rPr>
        <w:t>Student Fees</w:t>
      </w:r>
      <w:r w:rsidR="006C3D09" w:rsidRPr="006C3D09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P</w:t>
      </w:r>
      <w:r w:rsidR="006C3D09" w:rsidRPr="006C3D09">
        <w:rPr>
          <w:rFonts w:ascii="Times New Roman" w:hAnsi="Times New Roman" w:cs="Times New Roman"/>
        </w:rPr>
        <w:t>ercentage used for Athletics</w:t>
      </w:r>
      <w:r>
        <w:rPr>
          <w:rFonts w:ascii="Times New Roman" w:hAnsi="Times New Roman" w:cs="Times New Roman"/>
        </w:rPr>
        <w:t>?</w:t>
      </w:r>
    </w:p>
    <w:p w14:paraId="5553AEBE" w14:textId="77777777" w:rsidR="006C3D09" w:rsidRDefault="006C3D09" w:rsidP="006C3D09">
      <w:pPr>
        <w:pStyle w:val="NoSpacing"/>
        <w:rPr>
          <w:rFonts w:ascii="Times New Roman" w:hAnsi="Times New Roman" w:cs="Times New Roman"/>
        </w:rPr>
      </w:pPr>
    </w:p>
    <w:p w14:paraId="06639D2C" w14:textId="77777777" w:rsidR="007E73E3" w:rsidRDefault="007E73E3" w:rsidP="00812FFA">
      <w:pPr>
        <w:rPr>
          <w:rFonts w:ascii="Times New Roman" w:eastAsia="Times New Roman" w:hAnsi="Times New Roman" w:cs="Times New Roman"/>
          <w:b/>
        </w:rPr>
      </w:pPr>
      <w:r w:rsidRPr="00325F6E">
        <w:rPr>
          <w:rFonts w:ascii="Times New Roman" w:eastAsia="Times New Roman" w:hAnsi="Times New Roman" w:cs="Times New Roman"/>
          <w:b/>
        </w:rPr>
        <w:t>AB 928</w:t>
      </w:r>
    </w:p>
    <w:p w14:paraId="369154E9" w14:textId="77777777" w:rsidR="0034392C" w:rsidRDefault="00B94AB6" w:rsidP="00812F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 928 </w:t>
      </w:r>
      <w:r w:rsidRPr="00812FFA">
        <w:rPr>
          <w:rFonts w:ascii="Times New Roman" w:eastAsia="Times New Roman" w:hAnsi="Times New Roman" w:cs="Times New Roman"/>
          <w:u w:val="single"/>
        </w:rPr>
        <w:t>require</w:t>
      </w:r>
      <w:r w:rsidRPr="00B94AB6">
        <w:rPr>
          <w:rFonts w:ascii="Times New Roman" w:eastAsia="Times New Roman" w:hAnsi="Times New Roman" w:cs="Times New Roman"/>
          <w:u w:val="single"/>
        </w:rPr>
        <w:t>s</w:t>
      </w:r>
      <w:r w:rsidRPr="00812FFA">
        <w:rPr>
          <w:rFonts w:ascii="Times New Roman" w:eastAsia="Times New Roman" w:hAnsi="Times New Roman" w:cs="Times New Roman"/>
        </w:rPr>
        <w:t xml:space="preserve"> the Intersegmental Committee of the Academic Senates of the University of California, the California State University, and the California Community Colleges, on or before May 31, 2023, </w:t>
      </w:r>
      <w:r w:rsidRPr="00812FFA">
        <w:rPr>
          <w:rFonts w:ascii="Times New Roman" w:eastAsia="Times New Roman" w:hAnsi="Times New Roman" w:cs="Times New Roman"/>
          <w:b/>
        </w:rPr>
        <w:t>to establish a singular lower division general education pathway</w:t>
      </w:r>
      <w:r w:rsidRPr="00812FFA">
        <w:rPr>
          <w:rFonts w:ascii="Times New Roman" w:eastAsia="Times New Roman" w:hAnsi="Times New Roman" w:cs="Times New Roman"/>
        </w:rPr>
        <w:t xml:space="preserve"> that meets the academic requirements necessary for transfer admission to the California State University and the University of California</w:t>
      </w:r>
      <w:r w:rsidR="0034392C">
        <w:rPr>
          <w:rFonts w:ascii="Times New Roman" w:eastAsia="Times New Roman" w:hAnsi="Times New Roman" w:cs="Times New Roman"/>
        </w:rPr>
        <w:t>.</w:t>
      </w:r>
    </w:p>
    <w:p w14:paraId="007343C4" w14:textId="77777777" w:rsidR="00B94AB6" w:rsidRPr="00325F6E" w:rsidRDefault="0034392C" w:rsidP="00812FF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If</w:t>
      </w:r>
      <w:r w:rsidRPr="00812FFA">
        <w:rPr>
          <w:rFonts w:ascii="Times New Roman" w:eastAsia="Times New Roman" w:hAnsi="Times New Roman" w:cs="Times New Roman"/>
        </w:rPr>
        <w:t xml:space="preserve"> the committee is unable to come to agreement on or before May 31, 2023, the respective administrative bodies of those segments </w:t>
      </w:r>
      <w:r>
        <w:rPr>
          <w:rFonts w:ascii="Times New Roman" w:eastAsia="Times New Roman" w:hAnsi="Times New Roman" w:cs="Times New Roman"/>
        </w:rPr>
        <w:t xml:space="preserve">are </w:t>
      </w:r>
      <w:r w:rsidRPr="0034392C">
        <w:rPr>
          <w:rFonts w:ascii="Times New Roman" w:eastAsia="Times New Roman" w:hAnsi="Times New Roman" w:cs="Times New Roman"/>
          <w:u w:val="single"/>
        </w:rPr>
        <w:t>required</w:t>
      </w:r>
      <w:r>
        <w:rPr>
          <w:rFonts w:ascii="Times New Roman" w:eastAsia="Times New Roman" w:hAnsi="Times New Roman" w:cs="Times New Roman"/>
        </w:rPr>
        <w:t xml:space="preserve"> </w:t>
      </w:r>
      <w:r w:rsidRPr="00812FFA">
        <w:rPr>
          <w:rFonts w:ascii="Times New Roman" w:eastAsia="Times New Roman" w:hAnsi="Times New Roman" w:cs="Times New Roman"/>
        </w:rPr>
        <w:t>to establish a singular lower division general education pathway that meets the academic requirements necessary for transfer admission to the California State University and the University of California by December 31, 2023.</w:t>
      </w:r>
    </w:p>
    <w:p w14:paraId="60FB76DD" w14:textId="77777777" w:rsidR="000E639C" w:rsidRDefault="000E639C" w:rsidP="00812F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 w:rsidR="00812FFA" w:rsidRPr="00812FFA">
        <w:rPr>
          <w:rFonts w:ascii="Times New Roman" w:eastAsia="Times New Roman" w:hAnsi="Times New Roman" w:cs="Times New Roman"/>
        </w:rPr>
        <w:t xml:space="preserve"> Intersegmental Committee of Academic Senates (ICAS) unanimously </w:t>
      </w:r>
      <w:r w:rsidR="00812FFA" w:rsidRPr="00812FFA">
        <w:rPr>
          <w:rFonts w:ascii="Times New Roman" w:eastAsia="Times New Roman" w:hAnsi="Times New Roman" w:cs="Times New Roman"/>
          <w:b/>
        </w:rPr>
        <w:t>approved</w:t>
      </w:r>
      <w:r w:rsidR="00812FFA" w:rsidRPr="00812FFA">
        <w:rPr>
          <w:rFonts w:ascii="Times New Roman" w:eastAsia="Times New Roman" w:hAnsi="Times New Roman" w:cs="Times New Roman"/>
        </w:rPr>
        <w:t xml:space="preserve"> the Singular General Education Pathway required by AB 928.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A0BF320" w14:textId="77777777" w:rsidR="00B94AB6" w:rsidRPr="00812FFA" w:rsidRDefault="000E639C" w:rsidP="00812F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Pr="000E639C">
        <w:rPr>
          <w:rFonts w:ascii="Times New Roman" w:eastAsia="Times New Roman" w:hAnsi="Times New Roman" w:cs="Times New Roman"/>
        </w:rPr>
        <w:t>ICAS is a group of Academic Senate leaders from each of the three segments of public higher education in California: CCC, CSU, and UC. It meets jointly to address matters of academic importance to all three segments.</w:t>
      </w:r>
      <w:r w:rsidR="00B94AB6">
        <w:rPr>
          <w:rFonts w:ascii="Times New Roman" w:eastAsia="Times New Roman" w:hAnsi="Times New Roman" w:cs="Times New Roman"/>
        </w:rPr>
        <w:t xml:space="preserve"> </w:t>
      </w:r>
      <w:r w:rsidR="00B94AB6" w:rsidRPr="00812FFA">
        <w:rPr>
          <w:rFonts w:ascii="Times New Roman" w:eastAsia="Times New Roman" w:hAnsi="Times New Roman" w:cs="Times New Roman"/>
        </w:rPr>
        <w:t>The ASCSU is officially represented o</w:t>
      </w:r>
      <w:bookmarkStart w:id="0" w:name="_GoBack"/>
      <w:bookmarkEnd w:id="0"/>
      <w:r w:rsidR="00B94AB6" w:rsidRPr="00812FFA">
        <w:rPr>
          <w:rFonts w:ascii="Times New Roman" w:eastAsia="Times New Roman" w:hAnsi="Times New Roman" w:cs="Times New Roman"/>
        </w:rPr>
        <w:t>n ICAS</w:t>
      </w:r>
      <w:r w:rsidR="00B94AB6">
        <w:rPr>
          <w:rFonts w:ascii="Times New Roman" w:eastAsia="Times New Roman" w:hAnsi="Times New Roman" w:cs="Times New Roman"/>
        </w:rPr>
        <w:t>.)</w:t>
      </w:r>
    </w:p>
    <w:p w14:paraId="277AD4B7" w14:textId="77777777" w:rsidR="00B94AB6" w:rsidRDefault="00B94AB6" w:rsidP="00B94AB6">
      <w:pPr>
        <w:rPr>
          <w:rFonts w:ascii="Times New Roman" w:eastAsia="Times New Roman" w:hAnsi="Times New Roman" w:cs="Times New Roman"/>
        </w:rPr>
      </w:pPr>
    </w:p>
    <w:p w14:paraId="2E3F2BE6" w14:textId="77777777" w:rsidR="00B94AB6" w:rsidRDefault="00812FFA" w:rsidP="00B94AB6">
      <w:pPr>
        <w:rPr>
          <w:rFonts w:ascii="Times New Roman" w:eastAsia="Times New Roman" w:hAnsi="Times New Roman" w:cs="Times New Roman"/>
        </w:rPr>
      </w:pPr>
      <w:r w:rsidRPr="00812FFA">
        <w:rPr>
          <w:rFonts w:ascii="Times New Roman" w:eastAsia="Times New Roman" w:hAnsi="Times New Roman" w:cs="Times New Roman"/>
        </w:rPr>
        <w:t xml:space="preserve">The </w:t>
      </w:r>
      <w:r w:rsidR="000E639C">
        <w:rPr>
          <w:rFonts w:ascii="Times New Roman" w:eastAsia="Times New Roman" w:hAnsi="Times New Roman" w:cs="Times New Roman"/>
        </w:rPr>
        <w:t xml:space="preserve">ICAS </w:t>
      </w:r>
      <w:r w:rsidRPr="00812FFA">
        <w:rPr>
          <w:rFonts w:ascii="Times New Roman" w:eastAsia="Times New Roman" w:hAnsi="Times New Roman" w:cs="Times New Roman"/>
        </w:rPr>
        <w:t>pathway is a clear and transparent singular general education transfer pa​thway from the CCC to the CSU and U.C. that keeps the total number of course units to 34 while maintaining many key curricular elements important to CSU faculty. </w:t>
      </w:r>
    </w:p>
    <w:p w14:paraId="5773971A" w14:textId="77777777" w:rsidR="00837A0B" w:rsidRDefault="00837A0B" w:rsidP="00837A0B">
      <w:pPr>
        <w:rPr>
          <w:rFonts w:ascii="Times New Roman" w:eastAsia="Times New Roman" w:hAnsi="Times New Roman" w:cs="Times New Roman"/>
        </w:rPr>
      </w:pPr>
    </w:p>
    <w:p w14:paraId="3B6419C2" w14:textId="5F23AF2F" w:rsidR="00837A0B" w:rsidRPr="00837A0B" w:rsidRDefault="00812FFA" w:rsidP="00837A0B">
      <w:pPr>
        <w:rPr>
          <w:rFonts w:ascii="Times New Roman" w:eastAsia="Times New Roman" w:hAnsi="Times New Roman" w:cs="Times New Roman"/>
        </w:rPr>
      </w:pPr>
      <w:r w:rsidRPr="00812FFA">
        <w:rPr>
          <w:rFonts w:ascii="Times New Roman" w:eastAsia="Times New Roman" w:hAnsi="Times New Roman" w:cs="Times New Roman"/>
        </w:rPr>
        <w:t xml:space="preserve">To ensure effective communication and transparency, </w:t>
      </w:r>
      <w:r w:rsidR="00B94AB6" w:rsidRPr="00812FFA">
        <w:rPr>
          <w:rFonts w:ascii="Times New Roman" w:eastAsia="Times New Roman" w:hAnsi="Times New Roman" w:cs="Times New Roman"/>
        </w:rPr>
        <w:t>CSU Statewide Senators seek feedback from constituents</w:t>
      </w:r>
      <w:r w:rsidR="00837A0B">
        <w:rPr>
          <w:rFonts w:ascii="Times New Roman" w:eastAsia="Times New Roman" w:hAnsi="Times New Roman" w:cs="Times New Roman"/>
        </w:rPr>
        <w:t xml:space="preserve"> and</w:t>
      </w:r>
      <w:r w:rsidR="00837A0B" w:rsidRPr="00837A0B">
        <w:rPr>
          <w:rFonts w:ascii="Times New Roman" w:eastAsia="Times New Roman" w:hAnsi="Times New Roman" w:cs="Times New Roman"/>
        </w:rPr>
        <w:t xml:space="preserve"> ask “each Campus Senate </w:t>
      </w:r>
      <w:r w:rsidR="00837A0B">
        <w:rPr>
          <w:rFonts w:ascii="Times New Roman" w:eastAsia="Times New Roman" w:hAnsi="Times New Roman" w:cs="Times New Roman"/>
        </w:rPr>
        <w:t xml:space="preserve">to </w:t>
      </w:r>
      <w:r w:rsidR="00837A0B" w:rsidRPr="00837A0B">
        <w:rPr>
          <w:rFonts w:ascii="Times New Roman" w:eastAsia="Times New Roman" w:hAnsi="Times New Roman" w:cs="Times New Roman"/>
        </w:rPr>
        <w:t xml:space="preserve">submit feedback to the ASCSU by October 24, 2022, that takes one of the following three positions regarding the ICAS Cal-GETC proposal </w:t>
      </w:r>
      <w:r w:rsidR="00837A0B" w:rsidRPr="00837A0B">
        <w:rPr>
          <w:rFonts w:ascii="Times New Roman" w:eastAsia="Times New Roman" w:hAnsi="Times New Roman" w:cs="Times New Roman"/>
        </w:rPr>
        <w:br/>
      </w:r>
      <w:r w:rsidR="00837A0B" w:rsidRPr="00837A0B">
        <w:rPr>
          <w:rFonts w:ascii="Times New Roman" w:eastAsia="Times New Roman" w:hAnsi="Times New Roman" w:cs="Times New Roman"/>
        </w:rPr>
        <w:br/>
        <w:t xml:space="preserve">a.     Support the ICAS Cal-GETC proposal </w:t>
      </w:r>
      <w:r w:rsidR="00837A0B" w:rsidRPr="00837A0B">
        <w:rPr>
          <w:rFonts w:ascii="Times New Roman" w:eastAsia="Times New Roman" w:hAnsi="Times New Roman" w:cs="Times New Roman"/>
        </w:rPr>
        <w:br/>
      </w:r>
      <w:r w:rsidR="00837A0B" w:rsidRPr="00837A0B">
        <w:rPr>
          <w:rFonts w:ascii="Times New Roman" w:eastAsia="Times New Roman" w:hAnsi="Times New Roman" w:cs="Times New Roman"/>
        </w:rPr>
        <w:br/>
        <w:t>b.    Recommend specific changes that satisfy the requirements of AB 928, with rationale, or</w:t>
      </w:r>
      <w:r w:rsidR="00837A0B" w:rsidRPr="00837A0B">
        <w:rPr>
          <w:rFonts w:ascii="Times New Roman" w:eastAsia="Times New Roman" w:hAnsi="Times New Roman" w:cs="Times New Roman"/>
        </w:rPr>
        <w:br/>
      </w:r>
      <w:r w:rsidR="00837A0B" w:rsidRPr="00837A0B">
        <w:rPr>
          <w:rFonts w:ascii="Times New Roman" w:eastAsia="Times New Roman" w:hAnsi="Times New Roman" w:cs="Times New Roman"/>
        </w:rPr>
        <w:br/>
        <w:t>c.     Unable to come to a consensus” </w:t>
      </w:r>
    </w:p>
    <w:p w14:paraId="02ACAFD9" w14:textId="77777777" w:rsidR="00837A0B" w:rsidRDefault="00837A0B" w:rsidP="00812FFA">
      <w:pPr>
        <w:rPr>
          <w:rFonts w:ascii="Times New Roman" w:eastAsia="Times New Roman" w:hAnsi="Times New Roman" w:cs="Times New Roman"/>
        </w:rPr>
      </w:pPr>
    </w:p>
    <w:p w14:paraId="08E681A7" w14:textId="77047FED" w:rsidR="00812FFA" w:rsidRPr="00812FFA" w:rsidRDefault="004C75EA" w:rsidP="00812F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 928</w:t>
      </w:r>
      <w:r w:rsidR="00812FFA" w:rsidRPr="00812FFA">
        <w:rPr>
          <w:rFonts w:ascii="Times New Roman" w:eastAsia="Times New Roman" w:hAnsi="Times New Roman" w:cs="Times New Roman"/>
        </w:rPr>
        <w:t xml:space="preserve"> the singular lower division general education pathway, commencing with the fall term of the 2025–26 academic year, to be the </w:t>
      </w:r>
      <w:r w:rsidR="00812FFA" w:rsidRPr="00812FFA">
        <w:rPr>
          <w:rFonts w:ascii="Times New Roman" w:eastAsia="Times New Roman" w:hAnsi="Times New Roman" w:cs="Times New Roman"/>
          <w:u w:val="single"/>
        </w:rPr>
        <w:t>only</w:t>
      </w:r>
      <w:r w:rsidR="00812FFA" w:rsidRPr="00812FFA">
        <w:rPr>
          <w:rFonts w:ascii="Times New Roman" w:eastAsia="Times New Roman" w:hAnsi="Times New Roman" w:cs="Times New Roman"/>
        </w:rPr>
        <w:t xml:space="preserve"> lower division general education pathway used to determine eligibility and sufficient academic preparation for transfer into both segments, and to not lengthen the time-to-degree or include more units than those required under the Intersegmental General Education Transfer Curriculum on July 1, 2021.</w:t>
      </w:r>
    </w:p>
    <w:p w14:paraId="0E088CE2" w14:textId="77777777" w:rsidR="00812FFA" w:rsidRPr="006C3D09" w:rsidRDefault="00812FFA" w:rsidP="006C3D09">
      <w:pPr>
        <w:pStyle w:val="NoSpacing"/>
        <w:rPr>
          <w:rFonts w:ascii="Times New Roman" w:hAnsi="Times New Roman" w:cs="Times New Roman"/>
        </w:rPr>
      </w:pPr>
    </w:p>
    <w:sectPr w:rsidR="00812FFA" w:rsidRPr="006C3D09" w:rsidSect="00E7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C5AF1"/>
    <w:multiLevelType w:val="multilevel"/>
    <w:tmpl w:val="17C6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831DAC"/>
    <w:multiLevelType w:val="multilevel"/>
    <w:tmpl w:val="17C6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BC"/>
    <w:rsid w:val="000E639C"/>
    <w:rsid w:val="00325F6E"/>
    <w:rsid w:val="0032798D"/>
    <w:rsid w:val="0034392C"/>
    <w:rsid w:val="003915E5"/>
    <w:rsid w:val="003B7DDC"/>
    <w:rsid w:val="004005AF"/>
    <w:rsid w:val="004C75EA"/>
    <w:rsid w:val="004D3163"/>
    <w:rsid w:val="005070A5"/>
    <w:rsid w:val="006C3D09"/>
    <w:rsid w:val="00716F02"/>
    <w:rsid w:val="007B7D78"/>
    <w:rsid w:val="007E73E3"/>
    <w:rsid w:val="007F4386"/>
    <w:rsid w:val="00812FFA"/>
    <w:rsid w:val="00837A0B"/>
    <w:rsid w:val="00856175"/>
    <w:rsid w:val="0092782E"/>
    <w:rsid w:val="0098453B"/>
    <w:rsid w:val="00986F73"/>
    <w:rsid w:val="00B94AB6"/>
    <w:rsid w:val="00C40403"/>
    <w:rsid w:val="00CA75C3"/>
    <w:rsid w:val="00CB60FF"/>
    <w:rsid w:val="00CE40F6"/>
    <w:rsid w:val="00D96C6F"/>
    <w:rsid w:val="00E546C0"/>
    <w:rsid w:val="00E74512"/>
    <w:rsid w:val="00F476BC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DEE8"/>
  <w15:chartTrackingRefBased/>
  <w15:docId w15:val="{2315735C-8FB2-3649-9F3B-88DBEADC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6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12FFA"/>
    <w:rPr>
      <w:color w:val="0000FF"/>
      <w:u w:val="single"/>
    </w:rPr>
  </w:style>
  <w:style w:type="paragraph" w:styleId="NoSpacing">
    <w:name w:val="No Spacing"/>
    <w:uiPriority w:val="1"/>
    <w:qFormat/>
    <w:rsid w:val="006C3D09"/>
  </w:style>
  <w:style w:type="character" w:styleId="Strong">
    <w:name w:val="Strong"/>
    <w:basedOn w:val="DefaultParagraphFont"/>
    <w:uiPriority w:val="22"/>
    <w:qFormat/>
    <w:rsid w:val="00812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2022-09-11T00:03:00Z</cp:lastPrinted>
  <dcterms:created xsi:type="dcterms:W3CDTF">2022-09-10T00:47:00Z</dcterms:created>
  <dcterms:modified xsi:type="dcterms:W3CDTF">2022-09-11T18:22:00Z</dcterms:modified>
</cp:coreProperties>
</file>