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6B0A58" w:rsidRPr="00B64FCB" w:rsidTr="00BD02D4">
        <w:tc>
          <w:tcPr>
            <w:tcW w:w="9576" w:type="dxa"/>
            <w:shd w:val="clear" w:color="auto" w:fill="DBE5F1"/>
          </w:tcPr>
          <w:p w:rsidR="006B0A58" w:rsidRPr="00B64FCB" w:rsidRDefault="005226E3" w:rsidP="00BD02D4">
            <w:pPr>
              <w:pStyle w:val="ColorfulList-Accent11"/>
              <w:spacing w:before="120" w:after="360" w:line="240" w:lineRule="auto"/>
              <w:ind w:left="0"/>
              <w:jc w:val="center"/>
              <w:rPr>
                <w:rFonts w:ascii="Arial" w:hAnsi="Arial" w:cs="Arial"/>
                <w:b/>
                <w:smallCaps/>
              </w:rPr>
            </w:pPr>
            <w:r>
              <w:rPr>
                <w:rStyle w:val="PlaceholderText1"/>
              </w:rPr>
              <w:t>DEPARTMENT OF COMMUNICATION MA SOAP</w:t>
            </w:r>
          </w:p>
        </w:tc>
      </w:tr>
      <w:tr w:rsidR="006B0A58" w:rsidRPr="00D059F5" w:rsidTr="00BD02D4">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6B0A58" w:rsidRDefault="006B0A58" w:rsidP="00BD02D4">
            <w:pPr>
              <w:rPr>
                <w:b/>
                <w:bCs/>
              </w:rPr>
            </w:pPr>
            <w:r w:rsidRPr="007F064E">
              <w:rPr>
                <w:b/>
                <w:bCs/>
              </w:rPr>
              <w:t>Graduate Program</w:t>
            </w:r>
          </w:p>
          <w:p w:rsidR="006B0A58" w:rsidRDefault="006B0A58" w:rsidP="00BD02D4">
            <w:pPr>
              <w:rPr>
                <w:b/>
                <w:bCs/>
              </w:rPr>
            </w:pPr>
            <w:r>
              <w:rPr>
                <w:b/>
                <w:bCs/>
              </w:rPr>
              <w:t>Curriculum Map</w:t>
            </w:r>
          </w:p>
          <w:p w:rsidR="006B0A58" w:rsidRDefault="006B0A58" w:rsidP="00BD02D4">
            <w:r>
              <w:t>Goal 1:  Students will demonstrate proficiency in the dominant theories and programs of research in the communication discipline.</w:t>
            </w:r>
          </w:p>
          <w:p w:rsidR="006B0A58" w:rsidRDefault="006B0A58" w:rsidP="00BD02D4">
            <w:r>
              <w:t>Learning Outcomes:</w:t>
            </w:r>
          </w:p>
          <w:p w:rsidR="006B0A58" w:rsidRDefault="006B0A58" w:rsidP="006B0A58">
            <w:pPr>
              <w:numPr>
                <w:ilvl w:val="2"/>
                <w:numId w:val="1"/>
              </w:numPr>
              <w:spacing w:after="0" w:line="240" w:lineRule="auto"/>
              <w:ind w:left="540" w:hanging="540"/>
              <w:contextualSpacing/>
            </w:pPr>
            <w:r>
              <w:t>Differentiate and assess the epistemological ontological underpinnings of communication and rhetorical theories.</w:t>
            </w:r>
          </w:p>
          <w:p w:rsidR="006B0A58" w:rsidRDefault="006B0A58" w:rsidP="006B0A58">
            <w:pPr>
              <w:numPr>
                <w:ilvl w:val="2"/>
                <w:numId w:val="1"/>
              </w:numPr>
              <w:spacing w:after="0" w:line="240" w:lineRule="auto"/>
              <w:ind w:left="540" w:hanging="540"/>
              <w:contextualSpacing/>
            </w:pPr>
            <w:r>
              <w:t>Explain the role of rhetorical and communication theory in the examination and analysis of human communication research.</w:t>
            </w:r>
          </w:p>
          <w:p w:rsidR="006B0A58" w:rsidRDefault="006B0A58" w:rsidP="006B0A58">
            <w:pPr>
              <w:numPr>
                <w:ilvl w:val="2"/>
                <w:numId w:val="1"/>
              </w:numPr>
              <w:spacing w:after="0" w:line="240" w:lineRule="auto"/>
              <w:ind w:left="540" w:hanging="540"/>
              <w:contextualSpacing/>
            </w:pPr>
            <w:r>
              <w:t>Apply appropriate scholarly criteria to evaluate rhetorical and communication inquiry and scholarship.</w:t>
            </w:r>
          </w:p>
          <w:p w:rsidR="006B0A58" w:rsidRDefault="006B0A58" w:rsidP="006B0A58">
            <w:pPr>
              <w:numPr>
                <w:ilvl w:val="2"/>
                <w:numId w:val="1"/>
              </w:numPr>
              <w:spacing w:after="0" w:line="240" w:lineRule="auto"/>
              <w:ind w:left="540" w:hanging="540"/>
              <w:contextualSpacing/>
            </w:pPr>
            <w:r>
              <w:t>Assess the quantitative and qualitative methods used in communication inquiry.</w:t>
            </w:r>
          </w:p>
          <w:p w:rsidR="006B0A58" w:rsidRDefault="006B0A58" w:rsidP="00BD02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169"/>
              <w:gridCol w:w="2169"/>
              <w:gridCol w:w="2169"/>
            </w:tblGrid>
            <w:tr w:rsidR="006B0A58" w:rsidTr="00BD02D4">
              <w:tc>
                <w:tcPr>
                  <w:tcW w:w="2169" w:type="dxa"/>
                  <w:shd w:val="clear" w:color="auto" w:fill="auto"/>
                </w:tcPr>
                <w:p w:rsidR="006B0A58" w:rsidRDefault="006B0A58" w:rsidP="00BD02D4">
                  <w:r>
                    <w:t>Courses</w:t>
                  </w:r>
                </w:p>
              </w:tc>
              <w:tc>
                <w:tcPr>
                  <w:tcW w:w="2169" w:type="dxa"/>
                  <w:shd w:val="clear" w:color="auto" w:fill="auto"/>
                </w:tcPr>
                <w:p w:rsidR="006B0A58" w:rsidRDefault="006B0A58" w:rsidP="00BD02D4">
                  <w:r>
                    <w:t>Learning Outcome 1</w:t>
                  </w:r>
                </w:p>
              </w:tc>
              <w:tc>
                <w:tcPr>
                  <w:tcW w:w="2169" w:type="dxa"/>
                  <w:shd w:val="clear" w:color="auto" w:fill="auto"/>
                </w:tcPr>
                <w:p w:rsidR="006B0A58" w:rsidRDefault="006B0A58" w:rsidP="00BD02D4">
                  <w:r>
                    <w:t>Learning Outcome 2</w:t>
                  </w:r>
                </w:p>
              </w:tc>
              <w:tc>
                <w:tcPr>
                  <w:tcW w:w="2169" w:type="dxa"/>
                  <w:shd w:val="clear" w:color="auto" w:fill="auto"/>
                </w:tcPr>
                <w:p w:rsidR="006B0A58" w:rsidRDefault="006B0A58" w:rsidP="00BD02D4">
                  <w:r>
                    <w:t>Learning Outcome 3</w:t>
                  </w:r>
                </w:p>
              </w:tc>
            </w:tr>
            <w:tr w:rsidR="006B0A58" w:rsidTr="00BD02D4">
              <w:tc>
                <w:tcPr>
                  <w:tcW w:w="2169" w:type="dxa"/>
                  <w:shd w:val="clear" w:color="auto" w:fill="auto"/>
                </w:tcPr>
                <w:p w:rsidR="006B0A58" w:rsidRDefault="006B0A58" w:rsidP="00BD02D4">
                  <w:r>
                    <w:t>Comm  241</w:t>
                  </w:r>
                </w:p>
              </w:tc>
              <w:tc>
                <w:tcPr>
                  <w:tcW w:w="2169" w:type="dxa"/>
                  <w:shd w:val="clear" w:color="auto" w:fill="auto"/>
                </w:tcPr>
                <w:p w:rsidR="006B0A58" w:rsidRDefault="006B0A58" w:rsidP="00BD02D4">
                  <w:r>
                    <w:t>x</w:t>
                  </w:r>
                </w:p>
              </w:tc>
              <w:tc>
                <w:tcPr>
                  <w:tcW w:w="2169" w:type="dxa"/>
                  <w:shd w:val="clear" w:color="auto" w:fill="auto"/>
                </w:tcPr>
                <w:p w:rsidR="006B0A58" w:rsidRDefault="006B0A58" w:rsidP="00BD02D4">
                  <w:r>
                    <w:t>x</w:t>
                  </w:r>
                </w:p>
              </w:tc>
              <w:tc>
                <w:tcPr>
                  <w:tcW w:w="2169" w:type="dxa"/>
                  <w:shd w:val="clear" w:color="auto" w:fill="auto"/>
                </w:tcPr>
                <w:p w:rsidR="006B0A58" w:rsidRDefault="006B0A58" w:rsidP="00BD02D4">
                  <w:r>
                    <w:t>x</w:t>
                  </w:r>
                </w:p>
              </w:tc>
            </w:tr>
            <w:tr w:rsidR="006B0A58" w:rsidTr="00BD02D4">
              <w:tc>
                <w:tcPr>
                  <w:tcW w:w="2169" w:type="dxa"/>
                  <w:shd w:val="clear" w:color="auto" w:fill="auto"/>
                </w:tcPr>
                <w:p w:rsidR="006B0A58" w:rsidRDefault="006B0A58" w:rsidP="00BD02D4">
                  <w:r>
                    <w:t>Comm 242</w:t>
                  </w:r>
                </w:p>
              </w:tc>
              <w:tc>
                <w:tcPr>
                  <w:tcW w:w="2169" w:type="dxa"/>
                  <w:shd w:val="clear" w:color="auto" w:fill="auto"/>
                </w:tcPr>
                <w:p w:rsidR="006B0A58" w:rsidRDefault="006B0A58" w:rsidP="00BD02D4"/>
              </w:tc>
              <w:tc>
                <w:tcPr>
                  <w:tcW w:w="2169" w:type="dxa"/>
                  <w:shd w:val="clear" w:color="auto" w:fill="auto"/>
                </w:tcPr>
                <w:p w:rsidR="006B0A58" w:rsidRDefault="006B0A58" w:rsidP="00BD02D4">
                  <w:r>
                    <w:t>x</w:t>
                  </w:r>
                </w:p>
              </w:tc>
              <w:tc>
                <w:tcPr>
                  <w:tcW w:w="2169" w:type="dxa"/>
                  <w:shd w:val="clear" w:color="auto" w:fill="auto"/>
                </w:tcPr>
                <w:p w:rsidR="006B0A58" w:rsidRDefault="006B0A58" w:rsidP="00BD02D4">
                  <w:r>
                    <w:t>x</w:t>
                  </w:r>
                </w:p>
              </w:tc>
            </w:tr>
            <w:tr w:rsidR="006B0A58" w:rsidTr="00BD02D4">
              <w:tc>
                <w:tcPr>
                  <w:tcW w:w="2169" w:type="dxa"/>
                  <w:shd w:val="clear" w:color="auto" w:fill="auto"/>
                </w:tcPr>
                <w:p w:rsidR="006B0A58" w:rsidRDefault="006B0A58" w:rsidP="00BD02D4">
                  <w:r>
                    <w:t>Comm 262</w:t>
                  </w:r>
                </w:p>
              </w:tc>
              <w:tc>
                <w:tcPr>
                  <w:tcW w:w="2169" w:type="dxa"/>
                  <w:shd w:val="clear" w:color="auto" w:fill="auto"/>
                </w:tcPr>
                <w:p w:rsidR="006B0A58" w:rsidRDefault="006B0A58" w:rsidP="00BD02D4">
                  <w:r>
                    <w:t>x</w:t>
                  </w:r>
                </w:p>
              </w:tc>
              <w:tc>
                <w:tcPr>
                  <w:tcW w:w="2169" w:type="dxa"/>
                  <w:shd w:val="clear" w:color="auto" w:fill="auto"/>
                </w:tcPr>
                <w:p w:rsidR="006B0A58" w:rsidRDefault="006B0A58" w:rsidP="00BD02D4">
                  <w:r>
                    <w:t>x</w:t>
                  </w:r>
                </w:p>
              </w:tc>
              <w:tc>
                <w:tcPr>
                  <w:tcW w:w="2169" w:type="dxa"/>
                  <w:shd w:val="clear" w:color="auto" w:fill="auto"/>
                </w:tcPr>
                <w:p w:rsidR="006B0A58" w:rsidRDefault="006B0A58" w:rsidP="00BD02D4">
                  <w:r>
                    <w:t>x</w:t>
                  </w:r>
                </w:p>
              </w:tc>
            </w:tr>
            <w:tr w:rsidR="006B0A58" w:rsidTr="00BD02D4">
              <w:tc>
                <w:tcPr>
                  <w:tcW w:w="2169" w:type="dxa"/>
                  <w:shd w:val="clear" w:color="auto" w:fill="auto"/>
                </w:tcPr>
                <w:p w:rsidR="006B0A58" w:rsidRDefault="006B0A58" w:rsidP="00BD02D4">
                  <w:r>
                    <w:t>Comm 264</w:t>
                  </w:r>
                </w:p>
              </w:tc>
              <w:tc>
                <w:tcPr>
                  <w:tcW w:w="2169" w:type="dxa"/>
                  <w:shd w:val="clear" w:color="auto" w:fill="auto"/>
                </w:tcPr>
                <w:p w:rsidR="006B0A58" w:rsidRDefault="006B0A58" w:rsidP="00BD02D4"/>
              </w:tc>
              <w:tc>
                <w:tcPr>
                  <w:tcW w:w="2169" w:type="dxa"/>
                  <w:shd w:val="clear" w:color="auto" w:fill="auto"/>
                </w:tcPr>
                <w:p w:rsidR="006B0A58" w:rsidRDefault="006B0A58" w:rsidP="00BD02D4">
                  <w:r>
                    <w:t>x</w:t>
                  </w:r>
                </w:p>
              </w:tc>
              <w:tc>
                <w:tcPr>
                  <w:tcW w:w="2169" w:type="dxa"/>
                  <w:shd w:val="clear" w:color="auto" w:fill="auto"/>
                </w:tcPr>
                <w:p w:rsidR="006B0A58" w:rsidRDefault="006B0A58" w:rsidP="00BD02D4">
                  <w:r>
                    <w:t>x</w:t>
                  </w:r>
                </w:p>
              </w:tc>
            </w:tr>
          </w:tbl>
          <w:p w:rsidR="006B0A58" w:rsidRDefault="006B0A58" w:rsidP="00BD02D4">
            <w:pPr>
              <w:ind w:left="90"/>
              <w:rPr>
                <w:rStyle w:val="CommentReference"/>
              </w:rPr>
            </w:pPr>
          </w:p>
          <w:p w:rsidR="006B0A58" w:rsidRDefault="006B0A58" w:rsidP="00BD02D4">
            <w:pPr>
              <w:ind w:left="90"/>
            </w:pPr>
            <w:r>
              <w:t>Goal 2:  Students will demonstrate competency in effective and skilled scholarly inquiry.</w:t>
            </w:r>
          </w:p>
          <w:p w:rsidR="006B0A58" w:rsidRDefault="006B0A58" w:rsidP="006B0A58">
            <w:pPr>
              <w:numPr>
                <w:ilvl w:val="6"/>
                <w:numId w:val="1"/>
              </w:numPr>
              <w:spacing w:after="0" w:line="240" w:lineRule="auto"/>
              <w:ind w:left="540" w:hanging="540"/>
              <w:contextualSpacing/>
            </w:pPr>
            <w:r>
              <w:t>Develop a situated rationale of study, statement of problem, and/or research question that addresses a relevant and consequential scholarly inquiry.</w:t>
            </w:r>
          </w:p>
          <w:p w:rsidR="006B0A58" w:rsidRDefault="006B0A58" w:rsidP="006B0A58">
            <w:pPr>
              <w:numPr>
                <w:ilvl w:val="6"/>
                <w:numId w:val="1"/>
              </w:numPr>
              <w:spacing w:after="0" w:line="240" w:lineRule="auto"/>
              <w:ind w:left="540" w:hanging="540"/>
              <w:contextualSpacing/>
            </w:pPr>
            <w:r>
              <w:t>Apply at least one critical/theoretical perspective or method to systematically analyze and assess a rhetorical and/or communication phenomenon.</w:t>
            </w:r>
          </w:p>
          <w:p w:rsidR="006B0A58" w:rsidRDefault="006B0A58" w:rsidP="006B0A58">
            <w:pPr>
              <w:numPr>
                <w:ilvl w:val="6"/>
                <w:numId w:val="1"/>
              </w:numPr>
              <w:spacing w:after="0" w:line="240" w:lineRule="auto"/>
              <w:ind w:left="540" w:hanging="540"/>
              <w:contextualSpacing/>
            </w:pPr>
            <w:r>
              <w:t>Interpret findings and/or results of inquiry with implications for current and future research.</w:t>
            </w:r>
          </w:p>
          <w:p w:rsidR="006B0A58" w:rsidRDefault="006B0A58" w:rsidP="006B0A58">
            <w:pPr>
              <w:numPr>
                <w:ilvl w:val="6"/>
                <w:numId w:val="1"/>
              </w:numPr>
              <w:spacing w:after="0" w:line="240" w:lineRule="auto"/>
              <w:ind w:left="540" w:hanging="540"/>
              <w:contextualSpacing/>
            </w:pPr>
            <w:r>
              <w:t>Utilize appropriate language choice, sentence structure, grammatical and punctuation conventions and follow appropriate research style conventions (</w:t>
            </w:r>
            <w:proofErr w:type="spellStart"/>
            <w:r>
              <w:t>e.g</w:t>
            </w:r>
            <w:proofErr w:type="spellEnd"/>
            <w:r>
              <w:t xml:space="preserve"> APA, MLA, or Chicago)</w:t>
            </w:r>
          </w:p>
          <w:p w:rsidR="006B0A58" w:rsidRDefault="006B0A58" w:rsidP="00BD02D4"/>
          <w:p w:rsidR="006B0A58" w:rsidRDefault="006B0A58" w:rsidP="00BD02D4"/>
          <w:p w:rsidR="006B0A58" w:rsidRDefault="006B0A58" w:rsidP="00BD02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1735"/>
              <w:gridCol w:w="1735"/>
              <w:gridCol w:w="1735"/>
              <w:gridCol w:w="1736"/>
            </w:tblGrid>
            <w:tr w:rsidR="006B0A58" w:rsidTr="00BD02D4">
              <w:tc>
                <w:tcPr>
                  <w:tcW w:w="1735" w:type="dxa"/>
                  <w:shd w:val="clear" w:color="auto" w:fill="auto"/>
                </w:tcPr>
                <w:p w:rsidR="006B0A58" w:rsidRDefault="006B0A58" w:rsidP="00BD02D4">
                  <w:r>
                    <w:lastRenderedPageBreak/>
                    <w:t>Courses</w:t>
                  </w:r>
                </w:p>
              </w:tc>
              <w:tc>
                <w:tcPr>
                  <w:tcW w:w="1735" w:type="dxa"/>
                  <w:shd w:val="clear" w:color="auto" w:fill="auto"/>
                </w:tcPr>
                <w:p w:rsidR="006B0A58" w:rsidRDefault="006B0A58" w:rsidP="00BD02D4">
                  <w:r>
                    <w:t>Learning Outcome 1</w:t>
                  </w:r>
                </w:p>
              </w:tc>
              <w:tc>
                <w:tcPr>
                  <w:tcW w:w="1735" w:type="dxa"/>
                  <w:shd w:val="clear" w:color="auto" w:fill="auto"/>
                </w:tcPr>
                <w:p w:rsidR="006B0A58" w:rsidRDefault="006B0A58" w:rsidP="00BD02D4">
                  <w:r>
                    <w:t>Learning Outcome 2</w:t>
                  </w:r>
                </w:p>
              </w:tc>
              <w:tc>
                <w:tcPr>
                  <w:tcW w:w="1735" w:type="dxa"/>
                  <w:shd w:val="clear" w:color="auto" w:fill="auto"/>
                </w:tcPr>
                <w:p w:rsidR="006B0A58" w:rsidRDefault="006B0A58" w:rsidP="00BD02D4">
                  <w:r>
                    <w:t>Learning Outcome 3</w:t>
                  </w:r>
                </w:p>
              </w:tc>
              <w:tc>
                <w:tcPr>
                  <w:tcW w:w="1736" w:type="dxa"/>
                  <w:shd w:val="clear" w:color="auto" w:fill="auto"/>
                </w:tcPr>
                <w:p w:rsidR="006B0A58" w:rsidRDefault="006B0A58" w:rsidP="00BD02D4">
                  <w:r>
                    <w:t>Learning Outcome 4</w:t>
                  </w:r>
                </w:p>
              </w:tc>
            </w:tr>
            <w:tr w:rsidR="006B0A58" w:rsidTr="00BD02D4">
              <w:tc>
                <w:tcPr>
                  <w:tcW w:w="1735" w:type="dxa"/>
                  <w:shd w:val="clear" w:color="auto" w:fill="auto"/>
                </w:tcPr>
                <w:p w:rsidR="006B0A58" w:rsidRDefault="006B0A58" w:rsidP="00BD02D4">
                  <w:r>
                    <w:t>Comm  214</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6" w:type="dxa"/>
                  <w:shd w:val="clear" w:color="auto" w:fill="auto"/>
                </w:tcPr>
                <w:p w:rsidR="006B0A58" w:rsidRDefault="006B0A58" w:rsidP="00BD02D4">
                  <w:r>
                    <w:t>x</w:t>
                  </w:r>
                </w:p>
              </w:tc>
            </w:tr>
            <w:tr w:rsidR="006B0A58" w:rsidTr="00BD02D4">
              <w:tc>
                <w:tcPr>
                  <w:tcW w:w="1735" w:type="dxa"/>
                  <w:shd w:val="clear" w:color="auto" w:fill="auto"/>
                </w:tcPr>
                <w:p w:rsidR="006B0A58" w:rsidRDefault="006B0A58" w:rsidP="00BD02D4">
                  <w:r>
                    <w:t>Comm  241</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6" w:type="dxa"/>
                  <w:shd w:val="clear" w:color="auto" w:fill="auto"/>
                </w:tcPr>
                <w:p w:rsidR="006B0A58" w:rsidRDefault="006B0A58" w:rsidP="00BD02D4">
                  <w:r>
                    <w:t>x</w:t>
                  </w:r>
                </w:p>
              </w:tc>
            </w:tr>
            <w:tr w:rsidR="006B0A58" w:rsidTr="00BD02D4">
              <w:tc>
                <w:tcPr>
                  <w:tcW w:w="1735" w:type="dxa"/>
                  <w:shd w:val="clear" w:color="auto" w:fill="auto"/>
                </w:tcPr>
                <w:p w:rsidR="006B0A58" w:rsidRDefault="006B0A58" w:rsidP="00BD02D4">
                  <w:r>
                    <w:t>Comm  242</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6" w:type="dxa"/>
                  <w:shd w:val="clear" w:color="auto" w:fill="auto"/>
                </w:tcPr>
                <w:p w:rsidR="006B0A58" w:rsidRDefault="006B0A58" w:rsidP="00BD02D4">
                  <w:r>
                    <w:t>x</w:t>
                  </w:r>
                </w:p>
              </w:tc>
            </w:tr>
            <w:tr w:rsidR="006B0A58" w:rsidTr="00BD02D4">
              <w:tc>
                <w:tcPr>
                  <w:tcW w:w="1735" w:type="dxa"/>
                  <w:shd w:val="clear" w:color="auto" w:fill="auto"/>
                </w:tcPr>
                <w:p w:rsidR="006B0A58" w:rsidRDefault="006B0A58" w:rsidP="00BD02D4">
                  <w:r>
                    <w:t>Comm  243</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6" w:type="dxa"/>
                  <w:shd w:val="clear" w:color="auto" w:fill="auto"/>
                </w:tcPr>
                <w:p w:rsidR="006B0A58" w:rsidRDefault="006B0A58" w:rsidP="00BD02D4">
                  <w:r>
                    <w:t>x</w:t>
                  </w:r>
                </w:p>
              </w:tc>
            </w:tr>
            <w:tr w:rsidR="006B0A58" w:rsidTr="00BD02D4">
              <w:tc>
                <w:tcPr>
                  <w:tcW w:w="1735" w:type="dxa"/>
                  <w:shd w:val="clear" w:color="auto" w:fill="auto"/>
                </w:tcPr>
                <w:p w:rsidR="006B0A58" w:rsidRDefault="006B0A58" w:rsidP="00BD02D4">
                  <w:r>
                    <w:t>Comm  262</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6" w:type="dxa"/>
                  <w:shd w:val="clear" w:color="auto" w:fill="auto"/>
                </w:tcPr>
                <w:p w:rsidR="006B0A58" w:rsidRDefault="006B0A58" w:rsidP="00BD02D4">
                  <w:r>
                    <w:t>x</w:t>
                  </w:r>
                </w:p>
              </w:tc>
            </w:tr>
            <w:tr w:rsidR="006B0A58" w:rsidTr="00BD02D4">
              <w:tc>
                <w:tcPr>
                  <w:tcW w:w="1735" w:type="dxa"/>
                  <w:shd w:val="clear" w:color="auto" w:fill="auto"/>
                </w:tcPr>
                <w:p w:rsidR="006B0A58" w:rsidRDefault="006B0A58" w:rsidP="00BD02D4">
                  <w:bookmarkStart w:id="0" w:name="_GoBack"/>
                  <w:bookmarkEnd w:id="0"/>
                  <w:r>
                    <w:t>Comm  263</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6" w:type="dxa"/>
                  <w:shd w:val="clear" w:color="auto" w:fill="auto"/>
                </w:tcPr>
                <w:p w:rsidR="006B0A58" w:rsidRDefault="006B0A58" w:rsidP="00BD02D4">
                  <w:r>
                    <w:t>x</w:t>
                  </w:r>
                </w:p>
              </w:tc>
            </w:tr>
            <w:tr w:rsidR="006B0A58" w:rsidTr="00BD02D4">
              <w:tc>
                <w:tcPr>
                  <w:tcW w:w="1735" w:type="dxa"/>
                  <w:shd w:val="clear" w:color="auto" w:fill="auto"/>
                </w:tcPr>
                <w:p w:rsidR="006B0A58" w:rsidRDefault="006B0A58" w:rsidP="00BD02D4">
                  <w:r>
                    <w:t>Comm  265</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6" w:type="dxa"/>
                  <w:shd w:val="clear" w:color="auto" w:fill="auto"/>
                </w:tcPr>
                <w:p w:rsidR="006B0A58" w:rsidRDefault="006B0A58" w:rsidP="00BD02D4">
                  <w:r>
                    <w:t>x</w:t>
                  </w:r>
                </w:p>
              </w:tc>
            </w:tr>
            <w:tr w:rsidR="006B0A58" w:rsidTr="00BD02D4">
              <w:tc>
                <w:tcPr>
                  <w:tcW w:w="1735" w:type="dxa"/>
                  <w:shd w:val="clear" w:color="auto" w:fill="auto"/>
                </w:tcPr>
                <w:p w:rsidR="006B0A58" w:rsidRDefault="006B0A58" w:rsidP="00BD02D4">
                  <w:r>
                    <w:t>Comm  266</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6" w:type="dxa"/>
                  <w:shd w:val="clear" w:color="auto" w:fill="auto"/>
                </w:tcPr>
                <w:p w:rsidR="006B0A58" w:rsidRDefault="006B0A58" w:rsidP="00BD02D4">
                  <w:r>
                    <w:t>x</w:t>
                  </w:r>
                </w:p>
              </w:tc>
            </w:tr>
            <w:tr w:rsidR="006B0A58" w:rsidTr="00BD02D4">
              <w:tc>
                <w:tcPr>
                  <w:tcW w:w="1735" w:type="dxa"/>
                  <w:shd w:val="clear" w:color="auto" w:fill="auto"/>
                </w:tcPr>
                <w:p w:rsidR="006B0A58" w:rsidRDefault="006B0A58" w:rsidP="00BD02D4">
                  <w:r>
                    <w:t>Comm  268</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6" w:type="dxa"/>
                  <w:shd w:val="clear" w:color="auto" w:fill="auto"/>
                </w:tcPr>
                <w:p w:rsidR="006B0A58" w:rsidRDefault="006B0A58" w:rsidP="00BD02D4">
                  <w:r>
                    <w:t>x</w:t>
                  </w:r>
                </w:p>
              </w:tc>
            </w:tr>
            <w:tr w:rsidR="006B0A58" w:rsidTr="00BD02D4">
              <w:tc>
                <w:tcPr>
                  <w:tcW w:w="1735" w:type="dxa"/>
                  <w:shd w:val="clear" w:color="auto" w:fill="auto"/>
                </w:tcPr>
                <w:p w:rsidR="006B0A58" w:rsidRDefault="006B0A58" w:rsidP="00BD02D4">
                  <w:r>
                    <w:t>Comm  275</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5" w:type="dxa"/>
                  <w:shd w:val="clear" w:color="auto" w:fill="auto"/>
                </w:tcPr>
                <w:p w:rsidR="006B0A58" w:rsidRDefault="006B0A58" w:rsidP="00BD02D4">
                  <w:r>
                    <w:t>x</w:t>
                  </w:r>
                </w:p>
              </w:tc>
              <w:tc>
                <w:tcPr>
                  <w:tcW w:w="1736" w:type="dxa"/>
                  <w:shd w:val="clear" w:color="auto" w:fill="auto"/>
                </w:tcPr>
                <w:p w:rsidR="006B0A58" w:rsidRDefault="006B0A58" w:rsidP="00BD02D4">
                  <w:r>
                    <w:t>x</w:t>
                  </w:r>
                </w:p>
              </w:tc>
            </w:tr>
          </w:tbl>
          <w:p w:rsidR="006B0A58" w:rsidRDefault="006B0A58" w:rsidP="00BD02D4"/>
          <w:p w:rsidR="006B0A58" w:rsidRDefault="006B0A58" w:rsidP="00BD02D4">
            <w:r>
              <w:t>Goal 3:  Students will demonstrate a comprehensive understanding of the communication discipline and/or competency in producing communication research, or curriculum design.</w:t>
            </w:r>
          </w:p>
          <w:p w:rsidR="006B0A58" w:rsidRDefault="006B0A58" w:rsidP="00BD02D4">
            <w:r>
              <w:t>Learning Outcomes:</w:t>
            </w:r>
          </w:p>
          <w:p w:rsidR="006B0A58" w:rsidRDefault="006B0A58" w:rsidP="006B0A58">
            <w:pPr>
              <w:numPr>
                <w:ilvl w:val="0"/>
                <w:numId w:val="3"/>
              </w:numPr>
              <w:spacing w:after="0" w:line="240" w:lineRule="auto"/>
              <w:contextualSpacing/>
            </w:pPr>
            <w:r>
              <w:t>Create a scholarly research project that explicates a significant area of communication inquiry.</w:t>
            </w:r>
          </w:p>
          <w:p w:rsidR="006B0A58" w:rsidRDefault="006B0A58" w:rsidP="006B0A58">
            <w:pPr>
              <w:numPr>
                <w:ilvl w:val="0"/>
                <w:numId w:val="3"/>
              </w:numPr>
              <w:spacing w:after="0" w:line="240" w:lineRule="auto"/>
              <w:contextualSpacing/>
            </w:pPr>
            <w:r>
              <w:t>Develop a research study that effectively utilizes a dominant research paradigm.</w:t>
            </w:r>
          </w:p>
          <w:p w:rsidR="006B0A58" w:rsidRDefault="006B0A58" w:rsidP="006B0A58">
            <w:pPr>
              <w:numPr>
                <w:ilvl w:val="0"/>
                <w:numId w:val="3"/>
              </w:numPr>
              <w:spacing w:after="0" w:line="240" w:lineRule="auto"/>
              <w:contextualSpacing/>
            </w:pPr>
            <w:r>
              <w:t xml:space="preserve">Create a project that addresses a significant communication problem </w:t>
            </w:r>
          </w:p>
          <w:p w:rsidR="006B0A58" w:rsidRDefault="006B0A58" w:rsidP="00BD02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169"/>
              <w:gridCol w:w="2169"/>
              <w:gridCol w:w="2169"/>
            </w:tblGrid>
            <w:tr w:rsidR="006B0A58" w:rsidTr="00BD02D4">
              <w:tc>
                <w:tcPr>
                  <w:tcW w:w="2169" w:type="dxa"/>
                  <w:shd w:val="clear" w:color="auto" w:fill="auto"/>
                </w:tcPr>
                <w:p w:rsidR="006B0A58" w:rsidRDefault="006B0A58" w:rsidP="00BD02D4">
                  <w:r>
                    <w:t>Assessment contexts</w:t>
                  </w:r>
                </w:p>
              </w:tc>
              <w:tc>
                <w:tcPr>
                  <w:tcW w:w="2169" w:type="dxa"/>
                  <w:shd w:val="clear" w:color="auto" w:fill="auto"/>
                </w:tcPr>
                <w:p w:rsidR="006B0A58" w:rsidRDefault="006B0A58" w:rsidP="00BD02D4">
                  <w:r>
                    <w:t>Learning outcome 1</w:t>
                  </w:r>
                </w:p>
              </w:tc>
              <w:tc>
                <w:tcPr>
                  <w:tcW w:w="2169" w:type="dxa"/>
                  <w:shd w:val="clear" w:color="auto" w:fill="auto"/>
                </w:tcPr>
                <w:p w:rsidR="006B0A58" w:rsidRDefault="006B0A58" w:rsidP="00BD02D4">
                  <w:r>
                    <w:t>Learning Outcome 2</w:t>
                  </w:r>
                </w:p>
              </w:tc>
              <w:tc>
                <w:tcPr>
                  <w:tcW w:w="2169" w:type="dxa"/>
                  <w:shd w:val="clear" w:color="auto" w:fill="auto"/>
                </w:tcPr>
                <w:p w:rsidR="006B0A58" w:rsidRDefault="006B0A58" w:rsidP="00BD02D4">
                  <w:r>
                    <w:t>Learning Outcome 3</w:t>
                  </w:r>
                </w:p>
              </w:tc>
            </w:tr>
            <w:tr w:rsidR="006B0A58" w:rsidTr="00BD02D4">
              <w:tc>
                <w:tcPr>
                  <w:tcW w:w="2169" w:type="dxa"/>
                  <w:shd w:val="clear" w:color="auto" w:fill="auto"/>
                </w:tcPr>
                <w:p w:rsidR="006B0A58" w:rsidRDefault="006B0A58" w:rsidP="00BD02D4">
                  <w:r>
                    <w:t>Comprehensive Examination</w:t>
                  </w:r>
                </w:p>
              </w:tc>
              <w:tc>
                <w:tcPr>
                  <w:tcW w:w="2169" w:type="dxa"/>
                  <w:shd w:val="clear" w:color="auto" w:fill="auto"/>
                </w:tcPr>
                <w:p w:rsidR="006B0A58" w:rsidRDefault="006B0A58" w:rsidP="00BD02D4">
                  <w:r>
                    <w:t>x</w:t>
                  </w:r>
                </w:p>
              </w:tc>
              <w:tc>
                <w:tcPr>
                  <w:tcW w:w="2169" w:type="dxa"/>
                  <w:shd w:val="clear" w:color="auto" w:fill="auto"/>
                </w:tcPr>
                <w:p w:rsidR="006B0A58" w:rsidRDefault="006B0A58" w:rsidP="00BD02D4"/>
              </w:tc>
              <w:tc>
                <w:tcPr>
                  <w:tcW w:w="2169" w:type="dxa"/>
                  <w:shd w:val="clear" w:color="auto" w:fill="auto"/>
                </w:tcPr>
                <w:p w:rsidR="006B0A58" w:rsidRDefault="006B0A58" w:rsidP="00BD02D4"/>
              </w:tc>
            </w:tr>
            <w:tr w:rsidR="006B0A58" w:rsidTr="00BD02D4">
              <w:tc>
                <w:tcPr>
                  <w:tcW w:w="2169" w:type="dxa"/>
                  <w:shd w:val="clear" w:color="auto" w:fill="auto"/>
                </w:tcPr>
                <w:p w:rsidR="006B0A58" w:rsidRDefault="006B0A58" w:rsidP="00BD02D4">
                  <w:r>
                    <w:t>Thesis</w:t>
                  </w:r>
                </w:p>
              </w:tc>
              <w:tc>
                <w:tcPr>
                  <w:tcW w:w="2169" w:type="dxa"/>
                  <w:shd w:val="clear" w:color="auto" w:fill="auto"/>
                </w:tcPr>
                <w:p w:rsidR="006B0A58" w:rsidRDefault="006B0A58" w:rsidP="00BD02D4">
                  <w:r>
                    <w:t>x</w:t>
                  </w:r>
                </w:p>
              </w:tc>
              <w:tc>
                <w:tcPr>
                  <w:tcW w:w="2169" w:type="dxa"/>
                  <w:shd w:val="clear" w:color="auto" w:fill="auto"/>
                </w:tcPr>
                <w:p w:rsidR="006B0A58" w:rsidRDefault="006B0A58" w:rsidP="00BD02D4">
                  <w:r>
                    <w:t>x</w:t>
                  </w:r>
                </w:p>
              </w:tc>
              <w:tc>
                <w:tcPr>
                  <w:tcW w:w="2169" w:type="dxa"/>
                  <w:shd w:val="clear" w:color="auto" w:fill="auto"/>
                </w:tcPr>
                <w:p w:rsidR="006B0A58" w:rsidRDefault="006B0A58" w:rsidP="00BD02D4"/>
              </w:tc>
            </w:tr>
            <w:tr w:rsidR="006B0A58" w:rsidTr="00BD02D4">
              <w:tc>
                <w:tcPr>
                  <w:tcW w:w="2169" w:type="dxa"/>
                  <w:shd w:val="clear" w:color="auto" w:fill="auto"/>
                </w:tcPr>
                <w:p w:rsidR="006B0A58" w:rsidRDefault="006B0A58" w:rsidP="00BD02D4">
                  <w:r>
                    <w:t>Project</w:t>
                  </w:r>
                </w:p>
              </w:tc>
              <w:tc>
                <w:tcPr>
                  <w:tcW w:w="2169" w:type="dxa"/>
                  <w:shd w:val="clear" w:color="auto" w:fill="auto"/>
                </w:tcPr>
                <w:p w:rsidR="006B0A58" w:rsidRDefault="006B0A58" w:rsidP="00BD02D4">
                  <w:r>
                    <w:t>x</w:t>
                  </w:r>
                </w:p>
              </w:tc>
              <w:tc>
                <w:tcPr>
                  <w:tcW w:w="2169" w:type="dxa"/>
                  <w:shd w:val="clear" w:color="auto" w:fill="auto"/>
                </w:tcPr>
                <w:p w:rsidR="006B0A58" w:rsidRDefault="006B0A58" w:rsidP="00BD02D4"/>
              </w:tc>
              <w:tc>
                <w:tcPr>
                  <w:tcW w:w="2169" w:type="dxa"/>
                  <w:shd w:val="clear" w:color="auto" w:fill="auto"/>
                </w:tcPr>
                <w:p w:rsidR="006B0A58" w:rsidRDefault="006B0A58" w:rsidP="00BD02D4">
                  <w:r>
                    <w:t>x</w:t>
                  </w:r>
                </w:p>
              </w:tc>
            </w:tr>
          </w:tbl>
          <w:p w:rsidR="006B0A58" w:rsidRDefault="006B0A58" w:rsidP="00BD02D4"/>
          <w:p w:rsidR="006B0A58" w:rsidRDefault="006B0A58" w:rsidP="00BD02D4"/>
          <w:p w:rsidR="006B0A58" w:rsidRPr="00522F8A" w:rsidRDefault="006B0A58" w:rsidP="00BD02D4">
            <w:pPr>
              <w:rPr>
                <w:b/>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676"/>
            </w:tblGrid>
            <w:tr w:rsidR="006B0A58" w:rsidRPr="005A25E2" w:rsidTr="00BD02D4">
              <w:tc>
                <w:tcPr>
                  <w:tcW w:w="8676" w:type="dxa"/>
                  <w:shd w:val="clear" w:color="auto" w:fill="auto"/>
                </w:tcPr>
                <w:p w:rsidR="006B0A58" w:rsidRPr="004E1DE8" w:rsidRDefault="006B0A58" w:rsidP="00BD02D4">
                  <w:pPr>
                    <w:rPr>
                      <w:rFonts w:eastAsia="Cambria"/>
                      <w:b/>
                    </w:rPr>
                  </w:pPr>
                  <w:r w:rsidRPr="004E1DE8">
                    <w:rPr>
                      <w:rFonts w:eastAsia="Cambria"/>
                      <w:b/>
                    </w:rPr>
                    <w:t xml:space="preserve">       Assessment Methods</w:t>
                  </w:r>
                </w:p>
              </w:tc>
            </w:tr>
            <w:tr w:rsidR="006B0A58" w:rsidRPr="005A25E2" w:rsidTr="00BD02D4">
              <w:tc>
                <w:tcPr>
                  <w:tcW w:w="8676" w:type="dxa"/>
                </w:tcPr>
                <w:p w:rsidR="006B0A58" w:rsidRPr="004E1DE8" w:rsidRDefault="006B0A58" w:rsidP="006B0A58">
                  <w:pPr>
                    <w:numPr>
                      <w:ilvl w:val="1"/>
                      <w:numId w:val="2"/>
                    </w:numPr>
                    <w:rPr>
                      <w:rFonts w:eastAsia="Cambria"/>
                      <w:b/>
                    </w:rPr>
                  </w:pPr>
                  <w:r w:rsidRPr="004E1DE8">
                    <w:rPr>
                      <w:rFonts w:eastAsia="Cambria"/>
                      <w:b/>
                    </w:rPr>
                    <w:t xml:space="preserve">Direct Measures </w:t>
                  </w:r>
                </w:p>
              </w:tc>
            </w:tr>
            <w:tr w:rsidR="006B0A58" w:rsidRPr="005A25E2" w:rsidTr="00BD02D4">
              <w:tc>
                <w:tcPr>
                  <w:tcW w:w="8676" w:type="dxa"/>
                </w:tcPr>
                <w:p w:rsidR="006B0A58" w:rsidRPr="004E1DE8" w:rsidRDefault="006B0A58" w:rsidP="006B0A58">
                  <w:pPr>
                    <w:numPr>
                      <w:ilvl w:val="2"/>
                      <w:numId w:val="2"/>
                    </w:numPr>
                    <w:rPr>
                      <w:rFonts w:eastAsia="Cambria"/>
                      <w:b/>
                    </w:rPr>
                  </w:pPr>
                  <w:r w:rsidRPr="004E1DE8">
                    <w:rPr>
                      <w:rFonts w:eastAsia="Cambria"/>
                      <w:b/>
                    </w:rPr>
                    <w:t>Course Assignments (w/scoring rubrics)</w:t>
                  </w:r>
                </w:p>
                <w:p w:rsidR="006B0A58" w:rsidRPr="004E1DE8" w:rsidRDefault="006B0A58" w:rsidP="006B0A58">
                  <w:pPr>
                    <w:numPr>
                      <w:ilvl w:val="2"/>
                      <w:numId w:val="2"/>
                    </w:numPr>
                    <w:rPr>
                      <w:rFonts w:eastAsia="Cambria"/>
                      <w:b/>
                    </w:rPr>
                  </w:pPr>
                  <w:r w:rsidRPr="004E1DE8">
                    <w:rPr>
                      <w:rFonts w:eastAsia="Cambria"/>
                      <w:b/>
                    </w:rPr>
                    <w:t>Comprehensive Examinations, Theses, Projects</w:t>
                  </w:r>
                </w:p>
                <w:p w:rsidR="006B0A58" w:rsidRPr="004E1DE8" w:rsidRDefault="006B0A58" w:rsidP="006B0A58">
                  <w:pPr>
                    <w:numPr>
                      <w:ilvl w:val="2"/>
                      <w:numId w:val="2"/>
                    </w:numPr>
                    <w:rPr>
                      <w:rFonts w:eastAsia="Cambria"/>
                      <w:b/>
                    </w:rPr>
                  </w:pPr>
                  <w:r w:rsidRPr="004E1DE8">
                    <w:rPr>
                      <w:rFonts w:eastAsia="Cambria"/>
                      <w:b/>
                    </w:rPr>
                    <w:t>Seminar Papers</w:t>
                  </w:r>
                </w:p>
              </w:tc>
            </w:tr>
            <w:tr w:rsidR="006B0A58" w:rsidRPr="005A25E2" w:rsidTr="00BD02D4">
              <w:tc>
                <w:tcPr>
                  <w:tcW w:w="8676" w:type="dxa"/>
                </w:tcPr>
                <w:p w:rsidR="006B0A58" w:rsidRPr="004E1DE8" w:rsidRDefault="006B0A58" w:rsidP="006B0A58">
                  <w:pPr>
                    <w:numPr>
                      <w:ilvl w:val="1"/>
                      <w:numId w:val="2"/>
                    </w:numPr>
                    <w:rPr>
                      <w:rFonts w:eastAsia="Cambria"/>
                      <w:b/>
                    </w:rPr>
                  </w:pPr>
                  <w:r w:rsidRPr="004E1DE8">
                    <w:rPr>
                      <w:rFonts w:eastAsia="Cambria"/>
                      <w:b/>
                    </w:rPr>
                    <w:t xml:space="preserve"> Indirect Measures </w:t>
                  </w:r>
                </w:p>
                <w:p w:rsidR="006B0A58" w:rsidRPr="004E1DE8" w:rsidRDefault="006B0A58" w:rsidP="006B0A58">
                  <w:pPr>
                    <w:numPr>
                      <w:ilvl w:val="2"/>
                      <w:numId w:val="2"/>
                    </w:numPr>
                    <w:contextualSpacing/>
                    <w:rPr>
                      <w:rFonts w:eastAsia="Cambria"/>
                      <w:b/>
                    </w:rPr>
                  </w:pPr>
                  <w:r w:rsidRPr="004E1DE8">
                    <w:rPr>
                      <w:rFonts w:eastAsia="Cambria"/>
                      <w:b/>
                    </w:rPr>
                    <w:t>Teaching Evaluations</w:t>
                  </w:r>
                </w:p>
                <w:p w:rsidR="006B0A58" w:rsidRPr="004E1DE8" w:rsidRDefault="006B0A58" w:rsidP="006B0A58">
                  <w:pPr>
                    <w:numPr>
                      <w:ilvl w:val="2"/>
                      <w:numId w:val="2"/>
                    </w:numPr>
                    <w:contextualSpacing/>
                    <w:rPr>
                      <w:rFonts w:eastAsia="Cambria"/>
                      <w:b/>
                    </w:rPr>
                  </w:pPr>
                  <w:r w:rsidRPr="004E1DE8">
                    <w:rPr>
                      <w:rFonts w:eastAsia="Cambria"/>
                      <w:b/>
                    </w:rPr>
                    <w:t>Student Interviews</w:t>
                  </w:r>
                </w:p>
                <w:p w:rsidR="006B0A58" w:rsidRPr="004E1DE8" w:rsidRDefault="006B0A58" w:rsidP="006B0A58">
                  <w:pPr>
                    <w:numPr>
                      <w:ilvl w:val="2"/>
                      <w:numId w:val="2"/>
                    </w:numPr>
                    <w:contextualSpacing/>
                    <w:rPr>
                      <w:rFonts w:eastAsia="Cambria"/>
                      <w:b/>
                    </w:rPr>
                  </w:pPr>
                  <w:r w:rsidRPr="004E1DE8">
                    <w:rPr>
                      <w:rFonts w:eastAsia="Cambria"/>
                      <w:b/>
                    </w:rPr>
                    <w:t xml:space="preserve">Exit Surveys </w:t>
                  </w:r>
                </w:p>
              </w:tc>
            </w:tr>
          </w:tbl>
          <w:p w:rsidR="006B0A58" w:rsidRDefault="006B0A58" w:rsidP="00BD02D4">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76"/>
            </w:tblGrid>
            <w:tr w:rsidR="006B0A58" w:rsidRPr="005A25E2" w:rsidTr="00BD02D4">
              <w:tc>
                <w:tcPr>
                  <w:tcW w:w="8676" w:type="dxa"/>
                  <w:shd w:val="clear" w:color="auto" w:fill="auto"/>
                </w:tcPr>
                <w:p w:rsidR="006B0A58" w:rsidRPr="004E1DE8" w:rsidRDefault="006B0A58" w:rsidP="006B0A58">
                  <w:pPr>
                    <w:numPr>
                      <w:ilvl w:val="0"/>
                      <w:numId w:val="1"/>
                    </w:numPr>
                    <w:rPr>
                      <w:rFonts w:eastAsia="Cambria"/>
                      <w:b/>
                    </w:rPr>
                  </w:pPr>
                  <w:r>
                    <w:rPr>
                      <w:noProof/>
                    </w:rPr>
                    <mc:AlternateContent>
                      <mc:Choice Requires="wps">
                        <w:drawing>
                          <wp:anchor distT="0" distB="0" distL="114300" distR="114300" simplePos="0" relativeHeight="251659264" behindDoc="0" locked="0" layoutInCell="1" allowOverlap="1">
                            <wp:simplePos x="0" y="0"/>
                            <wp:positionH relativeFrom="column">
                              <wp:posOffset>4817110</wp:posOffset>
                            </wp:positionH>
                            <wp:positionV relativeFrom="paragraph">
                              <wp:posOffset>129540</wp:posOffset>
                            </wp:positionV>
                            <wp:extent cx="1149350" cy="313055"/>
                            <wp:effectExtent l="0" t="0" r="12700" b="10795"/>
                            <wp:wrapNone/>
                            <wp:docPr id="3" name="Flowchart: Alternate Process 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313055"/>
                                    </a:xfrm>
                                    <a:prstGeom prst="flowChartAlternateProcess">
                                      <a:avLst/>
                                    </a:prstGeom>
                                    <a:solidFill>
                                      <a:srgbClr val="FFFFFF"/>
                                    </a:solidFill>
                                    <a:ln w="3175">
                                      <a:solidFill>
                                        <a:srgbClr val="4F81BD"/>
                                      </a:solidFill>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rsidR="006B0A58" w:rsidRPr="000B30A8" w:rsidRDefault="006B0A58" w:rsidP="006B0A58">
                                        <w:pPr>
                                          <w:spacing w:line="192" w:lineRule="auto"/>
                                          <w:ind w:left="-90" w:right="-105"/>
                                          <w:jc w:val="center"/>
                                          <w:rPr>
                                            <w:b/>
                                            <w:color w:val="C00000"/>
                                            <w:sz w:val="16"/>
                                          </w:rPr>
                                        </w:pPr>
                                        <w:r>
                                          <w:rPr>
                                            <w:b/>
                                            <w:color w:val="C00000"/>
                                            <w:sz w:val="16"/>
                                          </w:rPr>
                                          <w:t xml:space="preserve">HOLD </w:t>
                                        </w:r>
                                        <w:r w:rsidRPr="000B30A8">
                                          <w:rPr>
                                            <w:b/>
                                            <w:color w:val="C00000"/>
                                            <w:sz w:val="16"/>
                                          </w:rPr>
                                          <w:t xml:space="preserve">CTRL </w:t>
                                        </w:r>
                                        <w:r>
                                          <w:rPr>
                                            <w:b/>
                                            <w:color w:val="C00000"/>
                                            <w:sz w:val="16"/>
                                          </w:rPr>
                                          <w:t xml:space="preserve">THEN </w:t>
                                        </w:r>
                                        <w:r w:rsidRPr="000B30A8">
                                          <w:rPr>
                                            <w:b/>
                                            <w:color w:val="C00000"/>
                                            <w:sz w:val="16"/>
                                          </w:rPr>
                                          <w:t>CLICK TO VIEW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href="http://www.csufresno.edu/irap/assessment/SOAP/timeline.shtml" style="position:absolute;left:0;text-align:left;margin-left:379.3pt;margin-top:10.2pt;width:90.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" o:button="t" strokecolor="#4f81bd" strokeweight=".25pt">
                            <v:fill o:detectmouseclick="t"/>
                            <v:textbox>
                              <w:txbxContent>
                                <w:p w:rsidR="006B0A58" w:rsidRPr="000B30A8" w:rsidRDefault="006B0A58" w:rsidP="006B0A58">
                                  <w:pPr>
                                    <w:spacing w:line="192" w:lineRule="auto"/>
                                    <w:ind w:left="-90" w:right="-105"/>
                                    <w:jc w:val="center"/>
                                    <w:rPr>
                                      <w:b/>
                                      <w:color w:val="C00000"/>
                                      <w:sz w:val="16"/>
                                    </w:rPr>
                                  </w:pPr>
                                  <w:r>
                                    <w:rPr>
                                      <w:b/>
                                      <w:color w:val="C00000"/>
                                      <w:sz w:val="16"/>
                                    </w:rPr>
                                    <w:t xml:space="preserve">HOLD </w:t>
                                  </w:r>
                                  <w:r w:rsidRPr="000B30A8">
                                    <w:rPr>
                                      <w:b/>
                                      <w:color w:val="C00000"/>
                                      <w:sz w:val="16"/>
                                    </w:rPr>
                                    <w:t xml:space="preserve">CTRL </w:t>
                                  </w:r>
                                  <w:r>
                                    <w:rPr>
                                      <w:b/>
                                      <w:color w:val="C00000"/>
                                      <w:sz w:val="16"/>
                                    </w:rPr>
                                    <w:t xml:space="preserve">THEN </w:t>
                                  </w:r>
                                  <w:r w:rsidRPr="000B30A8">
                                    <w:rPr>
                                      <w:b/>
                                      <w:color w:val="C00000"/>
                                      <w:sz w:val="16"/>
                                    </w:rPr>
                                    <w:t>CLICK TO VIEW EXAMPLE</w:t>
                                  </w:r>
                                </w:p>
                              </w:txbxContent>
                            </v:textbox>
                          </v:shape>
                        </w:pict>
                      </mc:Fallback>
                    </mc:AlternateContent>
                  </w:r>
                  <w:r w:rsidRPr="004E1DE8">
                    <w:rPr>
                      <w:rFonts w:eastAsia="Cambria"/>
                      <w:b/>
                    </w:rPr>
                    <w:t>Timeline for Implementation of Assessment Methods and Summary Evaluations</w:t>
                  </w:r>
                </w:p>
              </w:tc>
            </w:tr>
            <w:tr w:rsidR="006B0A58" w:rsidRPr="005A25E2" w:rsidTr="00BD02D4">
              <w:tblPrEx>
                <w:tblBorders>
                  <w:top w:val="single" w:sz="12" w:space="0" w:color="000000"/>
                  <w:left w:val="single" w:sz="12" w:space="0" w:color="000000"/>
                  <w:bottom w:val="single" w:sz="12" w:space="0" w:color="000000"/>
                  <w:right w:val="single" w:sz="12" w:space="0" w:color="000000"/>
                </w:tblBorders>
              </w:tblPrEx>
              <w:tc>
                <w:tcPr>
                  <w:tcW w:w="8676" w:type="dxa"/>
                  <w:shd w:val="clear" w:color="auto" w:fill="auto"/>
                </w:tcPr>
                <w:p w:rsidR="006B0A58" w:rsidRDefault="005226E3" w:rsidP="00BD02D4">
                  <w:pPr>
                    <w:rPr>
                      <w:rFonts w:eastAsia="Cambria"/>
                    </w:rPr>
                  </w:pPr>
                  <w:r>
                    <w:rPr>
                      <w:rFonts w:eastAsia="Cambria"/>
                    </w:rPr>
                    <w:t>AY 2016-17</w:t>
                  </w:r>
                </w:p>
                <w:p w:rsidR="005226E3" w:rsidRDefault="005226E3" w:rsidP="00BD02D4">
                  <w:pPr>
                    <w:rPr>
                      <w:rFonts w:eastAsia="Cambria"/>
                    </w:rPr>
                  </w:pPr>
                  <w:r>
                    <w:rPr>
                      <w:rFonts w:eastAsia="Cambria"/>
                    </w:rPr>
                    <w:t xml:space="preserve">  Learning Outcome 2.2</w:t>
                  </w:r>
                </w:p>
                <w:p w:rsidR="005226E3" w:rsidRDefault="005226E3" w:rsidP="00BD02D4">
                  <w:pPr>
                    <w:rPr>
                      <w:rFonts w:eastAsia="Cambria"/>
                    </w:rPr>
                  </w:pPr>
                  <w:r>
                    <w:rPr>
                      <w:rFonts w:eastAsia="Cambria"/>
                    </w:rPr>
                    <w:t>AY 2017-18</w:t>
                  </w:r>
                </w:p>
                <w:p w:rsidR="005226E3" w:rsidRDefault="005226E3" w:rsidP="00BD02D4">
                  <w:pPr>
                    <w:rPr>
                      <w:rFonts w:eastAsia="Cambria"/>
                    </w:rPr>
                  </w:pPr>
                  <w:r>
                    <w:rPr>
                      <w:rFonts w:eastAsia="Cambria"/>
                    </w:rPr>
                    <w:t xml:space="preserve">  Learning Outcome 2.2</w:t>
                  </w:r>
                </w:p>
                <w:p w:rsidR="005226E3" w:rsidRDefault="005226E3" w:rsidP="00BD02D4">
                  <w:pPr>
                    <w:rPr>
                      <w:rFonts w:eastAsia="Cambria"/>
                    </w:rPr>
                  </w:pPr>
                  <w:r>
                    <w:rPr>
                      <w:rFonts w:eastAsia="Cambria"/>
                    </w:rPr>
                    <w:t>AY 2018-19</w:t>
                  </w:r>
                </w:p>
                <w:p w:rsidR="005226E3" w:rsidRPr="004E1DE8" w:rsidRDefault="005226E3" w:rsidP="00BD02D4">
                  <w:pPr>
                    <w:rPr>
                      <w:rFonts w:eastAsia="Cambria"/>
                    </w:rPr>
                  </w:pPr>
                  <w:r>
                    <w:rPr>
                      <w:rFonts w:eastAsia="Cambria"/>
                    </w:rPr>
                    <w:t xml:space="preserve">  Learning Outcome 2.4</w:t>
                  </w:r>
                </w:p>
              </w:tc>
            </w:tr>
            <w:tr w:rsidR="006B0A58" w:rsidRPr="005A25E2" w:rsidTr="00BD02D4">
              <w:tblPrEx>
                <w:tblBorders>
                  <w:top w:val="single" w:sz="12" w:space="0" w:color="000000"/>
                  <w:left w:val="single" w:sz="12" w:space="0" w:color="000000"/>
                  <w:bottom w:val="single" w:sz="12" w:space="0" w:color="000000"/>
                  <w:right w:val="single" w:sz="12" w:space="0" w:color="000000"/>
                </w:tblBorders>
              </w:tblPrEx>
              <w:tc>
                <w:tcPr>
                  <w:tcW w:w="8676" w:type="dxa"/>
                  <w:shd w:val="clear" w:color="auto" w:fill="auto"/>
                </w:tcPr>
                <w:p w:rsidR="006B0A58" w:rsidRPr="004E1DE8" w:rsidRDefault="006B0A58" w:rsidP="00BD02D4">
                  <w:pPr>
                    <w:rPr>
                      <w:rFonts w:eastAsia="Cambria"/>
                    </w:rPr>
                  </w:pPr>
                </w:p>
              </w:tc>
            </w:tr>
            <w:tr w:rsidR="006B0A58" w:rsidRPr="005A25E2" w:rsidTr="00BD02D4">
              <w:tblPrEx>
                <w:tblBorders>
                  <w:top w:val="single" w:sz="12" w:space="0" w:color="000000"/>
                  <w:left w:val="single" w:sz="12" w:space="0" w:color="000000"/>
                  <w:bottom w:val="single" w:sz="12" w:space="0" w:color="000000"/>
                  <w:right w:val="single" w:sz="12" w:space="0" w:color="000000"/>
                </w:tblBorders>
              </w:tblPrEx>
              <w:tc>
                <w:tcPr>
                  <w:tcW w:w="8676" w:type="dxa"/>
                  <w:shd w:val="clear" w:color="auto" w:fill="auto"/>
                </w:tcPr>
                <w:p w:rsidR="005226E3" w:rsidRDefault="005226E3" w:rsidP="005226E3">
                  <w:pPr>
                    <w:rPr>
                      <w:rFonts w:asciiTheme="minorHAnsi" w:eastAsiaTheme="minorHAnsi" w:hAnsiTheme="minorHAnsi" w:cstheme="minorBidi"/>
                    </w:rPr>
                  </w:pPr>
                  <w:r>
                    <w:rPr>
                      <w:rFonts w:asciiTheme="minorHAnsi" w:eastAsiaTheme="minorHAnsi" w:hAnsiTheme="minorHAnsi" w:cstheme="minorBidi"/>
                    </w:rPr>
                    <w:t>AY 2019-20</w:t>
                  </w:r>
                </w:p>
                <w:p w:rsidR="005226E3" w:rsidRDefault="005226E3" w:rsidP="005226E3">
                  <w:pPr>
                    <w:rPr>
                      <w:rFonts w:asciiTheme="minorHAnsi" w:eastAsiaTheme="minorHAnsi" w:hAnsiTheme="minorHAnsi" w:cstheme="minorBidi"/>
                    </w:rPr>
                  </w:pPr>
                  <w:r>
                    <w:rPr>
                      <w:rFonts w:asciiTheme="minorHAnsi" w:eastAsiaTheme="minorHAnsi" w:hAnsiTheme="minorHAnsi" w:cstheme="minorBidi"/>
                    </w:rPr>
                    <w:t xml:space="preserve">     Departmental Assessment Reports suspended due to COVID 19 pandemic</w:t>
                  </w:r>
                </w:p>
                <w:p w:rsidR="005226E3" w:rsidRDefault="005226E3" w:rsidP="005226E3">
                  <w:pPr>
                    <w:rPr>
                      <w:rFonts w:asciiTheme="minorHAnsi" w:eastAsiaTheme="minorHAnsi" w:hAnsiTheme="minorHAnsi" w:cstheme="minorBidi"/>
                    </w:rPr>
                  </w:pPr>
                  <w:r>
                    <w:rPr>
                      <w:rFonts w:asciiTheme="minorHAnsi" w:eastAsiaTheme="minorHAnsi" w:hAnsiTheme="minorHAnsi" w:cstheme="minorBidi"/>
                    </w:rPr>
                    <w:t>AY 2020-21</w:t>
                  </w:r>
                </w:p>
                <w:p w:rsidR="005226E3" w:rsidRDefault="005226E3" w:rsidP="005226E3">
                  <w:pPr>
                    <w:rPr>
                      <w:rFonts w:asciiTheme="minorHAnsi" w:eastAsiaTheme="minorHAnsi" w:hAnsiTheme="minorHAnsi" w:cstheme="minorBidi"/>
                    </w:rPr>
                  </w:pPr>
                  <w:r>
                    <w:rPr>
                      <w:rFonts w:asciiTheme="minorHAnsi" w:eastAsiaTheme="minorHAnsi" w:hAnsiTheme="minorHAnsi" w:cstheme="minorBidi"/>
                    </w:rPr>
                    <w:t xml:space="preserve">     The department will select an assessment activity that is feasible, given constraints caused by the switch to virtual instruction</w:t>
                  </w:r>
                </w:p>
                <w:p w:rsidR="005226E3" w:rsidRDefault="005226E3" w:rsidP="005226E3">
                  <w:pPr>
                    <w:rPr>
                      <w:rFonts w:asciiTheme="minorHAnsi" w:eastAsiaTheme="minorHAnsi" w:hAnsiTheme="minorHAnsi" w:cstheme="minorBidi"/>
                    </w:rPr>
                  </w:pPr>
                </w:p>
                <w:p w:rsidR="005226E3" w:rsidRDefault="005226E3" w:rsidP="005226E3">
                  <w:pPr>
                    <w:rPr>
                      <w:rFonts w:asciiTheme="minorHAnsi" w:eastAsiaTheme="minorHAnsi" w:hAnsiTheme="minorHAnsi" w:cstheme="minorBidi"/>
                    </w:rPr>
                  </w:pPr>
                </w:p>
                <w:p w:rsidR="005226E3" w:rsidRDefault="005226E3" w:rsidP="005226E3">
                  <w:pPr>
                    <w:rPr>
                      <w:rFonts w:asciiTheme="minorHAnsi" w:eastAsiaTheme="minorHAnsi" w:hAnsiTheme="minorHAnsi" w:cstheme="minorBidi"/>
                    </w:rPr>
                  </w:pPr>
                  <w:r>
                    <w:rPr>
                      <w:rFonts w:asciiTheme="minorHAnsi" w:eastAsiaTheme="minorHAnsi" w:hAnsiTheme="minorHAnsi" w:cstheme="minorBidi"/>
                    </w:rPr>
                    <w:lastRenderedPageBreak/>
                    <w:t>AY 2021-22</w:t>
                  </w:r>
                </w:p>
                <w:p w:rsidR="006B0A58" w:rsidRPr="004E1DE8" w:rsidRDefault="005226E3" w:rsidP="005226E3">
                  <w:pPr>
                    <w:rPr>
                      <w:rFonts w:eastAsia="Cambria"/>
                    </w:rPr>
                  </w:pPr>
                  <w:r>
                    <w:rPr>
                      <w:rFonts w:asciiTheme="minorHAnsi" w:eastAsiaTheme="minorHAnsi" w:hAnsiTheme="minorHAnsi" w:cstheme="minorBidi"/>
                    </w:rPr>
                    <w:t xml:space="preserve">     The department is revising its curriculum after completing a program review.  A new SOAP </w:t>
                  </w:r>
                  <w:proofErr w:type="gramStart"/>
                  <w:r>
                    <w:rPr>
                      <w:rFonts w:asciiTheme="minorHAnsi" w:eastAsiaTheme="minorHAnsi" w:hAnsiTheme="minorHAnsi" w:cstheme="minorBidi"/>
                    </w:rPr>
                    <w:t>will be developed</w:t>
                  </w:r>
                  <w:proofErr w:type="gramEnd"/>
                  <w:r>
                    <w:rPr>
                      <w:rFonts w:asciiTheme="minorHAnsi" w:eastAsiaTheme="minorHAnsi" w:hAnsiTheme="minorHAnsi" w:cstheme="minorBidi"/>
                    </w:rPr>
                    <w:t xml:space="preserve"> and the schedule of assessments will be developed based on the new learning outcomes.</w:t>
                  </w:r>
                </w:p>
              </w:tc>
            </w:tr>
            <w:tr w:rsidR="006B0A58" w:rsidRPr="005A25E2" w:rsidTr="00BD02D4">
              <w:tblPrEx>
                <w:tblBorders>
                  <w:top w:val="single" w:sz="12" w:space="0" w:color="000000"/>
                  <w:left w:val="single" w:sz="12" w:space="0" w:color="000000"/>
                  <w:bottom w:val="single" w:sz="12" w:space="0" w:color="000000"/>
                  <w:right w:val="single" w:sz="12" w:space="0" w:color="000000"/>
                </w:tblBorders>
              </w:tblPrEx>
              <w:tc>
                <w:tcPr>
                  <w:tcW w:w="8676" w:type="dxa"/>
                  <w:shd w:val="clear" w:color="auto" w:fill="auto"/>
                </w:tcPr>
                <w:p w:rsidR="006B0A58" w:rsidRPr="004E1DE8" w:rsidRDefault="006B0A58" w:rsidP="00BD02D4">
                  <w:pPr>
                    <w:rPr>
                      <w:rFonts w:eastAsia="Cambria"/>
                    </w:rPr>
                  </w:pPr>
                </w:p>
              </w:tc>
            </w:tr>
            <w:tr w:rsidR="006B0A58" w:rsidRPr="005A25E2" w:rsidTr="00BD02D4">
              <w:tblPrEx>
                <w:tblBorders>
                  <w:top w:val="single" w:sz="12" w:space="0" w:color="000000"/>
                  <w:left w:val="single" w:sz="12" w:space="0" w:color="000000"/>
                  <w:bottom w:val="single" w:sz="12" w:space="0" w:color="000000"/>
                  <w:right w:val="single" w:sz="12" w:space="0" w:color="000000"/>
                </w:tblBorders>
              </w:tblPrEx>
              <w:tc>
                <w:tcPr>
                  <w:tcW w:w="8676" w:type="dxa"/>
                  <w:shd w:val="clear" w:color="auto" w:fill="auto"/>
                </w:tcPr>
                <w:p w:rsidR="006B0A58" w:rsidRPr="004E1DE8" w:rsidRDefault="006B0A58" w:rsidP="00BD02D4">
                  <w:pPr>
                    <w:rPr>
                      <w:rFonts w:eastAsia="Cambria"/>
                    </w:rPr>
                  </w:pPr>
                </w:p>
              </w:tc>
            </w:tr>
          </w:tbl>
          <w:p w:rsidR="006B0A58" w:rsidRPr="00522F8A" w:rsidRDefault="006B0A58" w:rsidP="00BD02D4">
            <w:pPr>
              <w:rPr>
                <w:b/>
              </w:rPr>
            </w:pPr>
          </w:p>
          <w:p w:rsidR="006B0A58" w:rsidRDefault="006B0A58" w:rsidP="00BD02D4"/>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76"/>
            </w:tblGrid>
            <w:tr w:rsidR="006B0A58" w:rsidRPr="005A25E2" w:rsidTr="00BD02D4">
              <w:tc>
                <w:tcPr>
                  <w:tcW w:w="8676" w:type="dxa"/>
                  <w:shd w:val="clear" w:color="auto" w:fill="auto"/>
                </w:tcPr>
                <w:p w:rsidR="006B0A58" w:rsidRPr="004E1DE8" w:rsidRDefault="006B0A58" w:rsidP="006B0A58">
                  <w:pPr>
                    <w:numPr>
                      <w:ilvl w:val="0"/>
                      <w:numId w:val="1"/>
                    </w:numPr>
                    <w:rPr>
                      <w:rFonts w:eastAsia="Cambria"/>
                      <w:b/>
                    </w:rPr>
                  </w:pPr>
                  <w:r>
                    <w:rPr>
                      <w:noProof/>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91440</wp:posOffset>
                            </wp:positionV>
                            <wp:extent cx="885825" cy="283845"/>
                            <wp:effectExtent l="0" t="0" r="28575" b="20955"/>
                            <wp:wrapNone/>
                            <wp:docPr id="4" name="Flowchart: Alternate Process 4">
                              <a:hlinkClick xmlns:a="http://schemas.openxmlformats.org/drawingml/2006/main" r:id="rId6" tgtFrame="_blank"/>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83845"/>
                                    </a:xfrm>
                                    <a:prstGeom prst="flowChartAlternateProcess">
                                      <a:avLst/>
                                    </a:prstGeom>
                                    <a:solidFill>
                                      <a:srgbClr val="FFFFFF"/>
                                    </a:solidFill>
                                    <a:ln w="3175">
                                      <a:solidFill>
                                        <a:srgbClr val="4F81BD"/>
                                      </a:solidFill>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rsidR="006B0A58" w:rsidRPr="00301EDF" w:rsidRDefault="006B0A58" w:rsidP="006B0A58">
                                        <w:pPr>
                                          <w:spacing w:line="192" w:lineRule="auto"/>
                                          <w:ind w:left="-90" w:right="-105"/>
                                          <w:jc w:val="center"/>
                                          <w:rPr>
                                            <w:b/>
                                            <w:color w:val="C00000"/>
                                            <w:sz w:val="16"/>
                                          </w:rPr>
                                        </w:pPr>
                                        <w:r w:rsidRPr="00301EDF">
                                          <w:rPr>
                                            <w:b/>
                                            <w:color w:val="C00000"/>
                                            <w:sz w:val="16"/>
                                          </w:rPr>
                                          <w:t>CTRL + CLICK TO VIEW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 o:spid="_x0000_s1027" type="#_x0000_t176" href="http://www.csufresno.edu/irap/assessment/documents/sample soap components/closing-the-loop-sample-communicative-disorders.pdf" target="_blank" style="position:absolute;left:0;text-align:left;margin-left:396pt;margin-top:7.2pt;width:69.7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" o:button="t" strokecolor="#4f81bd" strokeweight=".25pt">
                            <v:fill o:detectmouseclick="t"/>
                            <v:textbox>
                              <w:txbxContent>
                                <w:p w:rsidR="006B0A58" w:rsidRPr="00301EDF" w:rsidRDefault="006B0A58" w:rsidP="006B0A58">
                                  <w:pPr>
                                    <w:spacing w:line="192" w:lineRule="auto"/>
                                    <w:ind w:left="-90" w:right="-105"/>
                                    <w:jc w:val="center"/>
                                    <w:rPr>
                                      <w:b/>
                                      <w:color w:val="C00000"/>
                                      <w:sz w:val="16"/>
                                    </w:rPr>
                                  </w:pPr>
                                  <w:r w:rsidRPr="00301EDF">
                                    <w:rPr>
                                      <w:b/>
                                      <w:color w:val="C00000"/>
                                      <w:sz w:val="16"/>
                                    </w:rPr>
                                    <w:t>CTRL + CLICK TO VIEW EXAMPLE</w:t>
                                  </w:r>
                                </w:p>
                              </w:txbxContent>
                            </v:textbox>
                          </v:shape>
                        </w:pict>
                      </mc:Fallback>
                    </mc:AlternateContent>
                  </w:r>
                  <w:r w:rsidRPr="004E1DE8">
                    <w:rPr>
                      <w:rFonts w:eastAsia="Cambria"/>
                      <w:b/>
                    </w:rPr>
                    <w:t>Closing the Loop - Summary Evaluation, Curriculum Adjustment, and Reporting</w:t>
                  </w:r>
                </w:p>
              </w:tc>
            </w:tr>
            <w:tr w:rsidR="006B0A58" w:rsidRPr="005A25E2" w:rsidTr="00BD02D4">
              <w:tc>
                <w:tcPr>
                  <w:tcW w:w="8676" w:type="dxa"/>
                </w:tcPr>
                <w:p w:rsidR="006B0A58" w:rsidRPr="004E1DE8" w:rsidRDefault="005226E3" w:rsidP="00BD02D4">
                  <w:pPr>
                    <w:rPr>
                      <w:rFonts w:eastAsia="Cambria"/>
                    </w:rPr>
                  </w:pPr>
                  <w:r>
                    <w:rPr>
                      <w:rFonts w:asciiTheme="minorHAnsi" w:eastAsiaTheme="minorHAnsi" w:hAnsiTheme="minorHAnsi" w:cstheme="minorBidi"/>
                    </w:rPr>
                    <w:t xml:space="preserve">     The assessment reports </w:t>
                  </w:r>
                  <w:proofErr w:type="gramStart"/>
                  <w:r>
                    <w:rPr>
                      <w:rFonts w:asciiTheme="minorHAnsi" w:eastAsiaTheme="minorHAnsi" w:hAnsiTheme="minorHAnsi" w:cstheme="minorBidi"/>
                    </w:rPr>
                    <w:t>will be shared</w:t>
                  </w:r>
                  <w:proofErr w:type="gramEnd"/>
                  <w:r>
                    <w:rPr>
                      <w:rFonts w:asciiTheme="minorHAnsi" w:eastAsiaTheme="minorHAnsi" w:hAnsiTheme="minorHAnsi" w:cstheme="minorBidi"/>
                    </w:rPr>
                    <w:t xml:space="preserve"> with the department chair and faculty members who teach courses that relate to the learning outcome(s) assessed.  If the benchmarks </w:t>
                  </w:r>
                  <w:proofErr w:type="gramStart"/>
                  <w:r>
                    <w:rPr>
                      <w:rFonts w:asciiTheme="minorHAnsi" w:eastAsiaTheme="minorHAnsi" w:hAnsiTheme="minorHAnsi" w:cstheme="minorBidi"/>
                    </w:rPr>
                    <w:t>are not met</w:t>
                  </w:r>
                  <w:proofErr w:type="gramEnd"/>
                  <w:r>
                    <w:rPr>
                      <w:rFonts w:asciiTheme="minorHAnsi" w:eastAsiaTheme="minorHAnsi" w:hAnsiTheme="minorHAnsi" w:cstheme="minorBidi"/>
                    </w:rPr>
                    <w:t>, the department will discuss teaching or curricular changes that are needed to improve student achievement of learning objectives and student achievement on these learning outcomes will be reassessed to determine whether these changes have improved student learning.</w:t>
                  </w:r>
                </w:p>
                <w:p w:rsidR="006B0A58" w:rsidRPr="004856F6" w:rsidRDefault="006B0A58" w:rsidP="00BD02D4"/>
              </w:tc>
            </w:tr>
          </w:tbl>
          <w:p w:rsidR="006B0A58" w:rsidRPr="007F064E" w:rsidRDefault="006B0A58" w:rsidP="00BD02D4"/>
          <w:p w:rsidR="006B0A58" w:rsidRDefault="006B0A58" w:rsidP="00BD02D4"/>
          <w:p w:rsidR="006B0A58" w:rsidRPr="00EB6607" w:rsidRDefault="006B0A58" w:rsidP="00BD02D4">
            <w:pPr>
              <w:spacing w:before="120" w:after="120" w:line="240" w:lineRule="auto"/>
              <w:rPr>
                <w:rFonts w:ascii="Arial" w:hAnsi="Arial" w:cs="Arial"/>
                <w:sz w:val="18"/>
                <w:szCs w:val="18"/>
              </w:rPr>
            </w:pPr>
          </w:p>
        </w:tc>
      </w:tr>
    </w:tbl>
    <w:p w:rsidR="00C63790" w:rsidRDefault="00C63790"/>
    <w:sectPr w:rsidR="00C63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4CC9"/>
    <w:multiLevelType w:val="hybridMultilevel"/>
    <w:tmpl w:val="82F6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01110"/>
    <w:multiLevelType w:val="multilevel"/>
    <w:tmpl w:val="288CE9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02012E"/>
    <w:multiLevelType w:val="multilevel"/>
    <w:tmpl w:val="F372254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ascii="Calibri" w:hAnsi="Calibri" w:hint="default"/>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58"/>
    <w:rsid w:val="001A7B24"/>
    <w:rsid w:val="005226E3"/>
    <w:rsid w:val="006B0A58"/>
    <w:rsid w:val="00C6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6B03"/>
  <w15:chartTrackingRefBased/>
  <w15:docId w15:val="{1B1271CA-A46C-4491-8D8C-28B2C978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5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uiPriority w:val="99"/>
    <w:semiHidden/>
    <w:rsid w:val="006B0A58"/>
    <w:rPr>
      <w:color w:val="808080"/>
    </w:rPr>
  </w:style>
  <w:style w:type="paragraph" w:customStyle="1" w:styleId="ColorfulList-Accent11">
    <w:name w:val="Colorful List - Accent 11"/>
    <w:basedOn w:val="Normal"/>
    <w:uiPriority w:val="34"/>
    <w:qFormat/>
    <w:rsid w:val="006B0A58"/>
    <w:pPr>
      <w:ind w:left="720"/>
      <w:contextualSpacing/>
    </w:pPr>
  </w:style>
  <w:style w:type="character" w:styleId="CommentReference">
    <w:name w:val="annotation reference"/>
    <w:semiHidden/>
    <w:rsid w:val="006B0A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fresno.edu/irap/assessment/documents/sample%20soap%20components/closing-the-loop-sample-communicative-disorders.pdf" TargetMode="External"/><Relationship Id="rId5" Type="http://schemas.openxmlformats.org/officeDocument/2006/relationships/hyperlink" Target="http://www.csufresno.edu/irap/assessment/SOAP/timelin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Doug Fraleigh</cp:lastModifiedBy>
  <cp:revision>3</cp:revision>
  <dcterms:created xsi:type="dcterms:W3CDTF">2020-11-10T23:15:00Z</dcterms:created>
  <dcterms:modified xsi:type="dcterms:W3CDTF">2020-11-10T23:22:00Z</dcterms:modified>
</cp:coreProperties>
</file>