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1063" w14:textId="77777777" w:rsidR="00B36DD7" w:rsidRDefault="00B36DD7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4E67FB" w14:textId="77777777" w:rsidR="00B36DD7" w:rsidRDefault="00B36DD7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F7BCA2" w14:textId="77777777" w:rsidR="00B36DD7" w:rsidRDefault="00B56EE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Report on Graduate Core Competency </w:t>
      </w:r>
    </w:p>
    <w:p w14:paraId="6D0C7262" w14:textId="77777777" w:rsidR="00B36DD7" w:rsidRDefault="00B56EE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Discipline-Specific Methodology </w:t>
      </w:r>
    </w:p>
    <w:p w14:paraId="118D1889" w14:textId="77777777" w:rsidR="00B36DD7" w:rsidRDefault="00B36DD7">
      <w:pPr>
        <w:spacing w:after="0" w:line="480" w:lineRule="auto"/>
        <w:jc w:val="center"/>
        <w:rPr>
          <w:b/>
          <w:sz w:val="36"/>
          <w:szCs w:val="36"/>
        </w:rPr>
      </w:pPr>
    </w:p>
    <w:p w14:paraId="6CF2E7DB" w14:textId="77777777" w:rsidR="00B36DD7" w:rsidRDefault="00B36DD7">
      <w:pPr>
        <w:spacing w:after="0" w:line="240" w:lineRule="auto"/>
        <w:jc w:val="center"/>
        <w:rPr>
          <w:sz w:val="24"/>
          <w:szCs w:val="24"/>
        </w:rPr>
      </w:pPr>
    </w:p>
    <w:p w14:paraId="3DB59D37" w14:textId="77777777" w:rsidR="00B36DD7" w:rsidRDefault="00B56EE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Graduate Core Competency Assessment, AY 2021-22</w:t>
      </w:r>
    </w:p>
    <w:p w14:paraId="7B5D2D1B" w14:textId="77777777" w:rsidR="00B36DD7" w:rsidRDefault="00B36DD7">
      <w:pPr>
        <w:spacing w:after="0" w:line="240" w:lineRule="auto"/>
        <w:jc w:val="center"/>
        <w:rPr>
          <w:sz w:val="24"/>
          <w:szCs w:val="24"/>
        </w:rPr>
      </w:pPr>
    </w:p>
    <w:p w14:paraId="409854C0" w14:textId="77777777" w:rsidR="00B36DD7" w:rsidRDefault="00B36DD7">
      <w:pPr>
        <w:spacing w:after="0" w:line="240" w:lineRule="auto"/>
        <w:jc w:val="center"/>
        <w:rPr>
          <w:sz w:val="24"/>
          <w:szCs w:val="24"/>
        </w:rPr>
      </w:pPr>
    </w:p>
    <w:p w14:paraId="2EF831FA" w14:textId="77777777" w:rsidR="00B36DD7" w:rsidRDefault="00B36DD7">
      <w:pPr>
        <w:spacing w:after="0" w:line="240" w:lineRule="auto"/>
        <w:jc w:val="center"/>
        <w:rPr>
          <w:sz w:val="24"/>
          <w:szCs w:val="24"/>
        </w:rPr>
      </w:pPr>
    </w:p>
    <w:p w14:paraId="02A210B3" w14:textId="77777777" w:rsidR="00B36DD7" w:rsidRDefault="00B36DD7">
      <w:pPr>
        <w:spacing w:after="0" w:line="240" w:lineRule="auto"/>
        <w:jc w:val="center"/>
        <w:rPr>
          <w:sz w:val="24"/>
          <w:szCs w:val="24"/>
        </w:rPr>
      </w:pPr>
    </w:p>
    <w:p w14:paraId="1E676471" w14:textId="77777777" w:rsidR="00B36DD7" w:rsidRDefault="00B36DD7">
      <w:pPr>
        <w:spacing w:after="0" w:line="240" w:lineRule="auto"/>
        <w:jc w:val="center"/>
        <w:rPr>
          <w:sz w:val="24"/>
          <w:szCs w:val="24"/>
        </w:rPr>
      </w:pPr>
    </w:p>
    <w:p w14:paraId="7F850C7B" w14:textId="77777777" w:rsidR="00B36DD7" w:rsidRDefault="00B36DD7">
      <w:pPr>
        <w:spacing w:after="0" w:line="240" w:lineRule="auto"/>
        <w:jc w:val="center"/>
        <w:rPr>
          <w:sz w:val="24"/>
          <w:szCs w:val="24"/>
        </w:rPr>
      </w:pPr>
    </w:p>
    <w:p w14:paraId="2E3CBBD4" w14:textId="77777777" w:rsidR="00B36DD7" w:rsidRDefault="00B36DD7">
      <w:pPr>
        <w:spacing w:after="0" w:line="240" w:lineRule="auto"/>
        <w:jc w:val="center"/>
        <w:rPr>
          <w:sz w:val="24"/>
          <w:szCs w:val="24"/>
        </w:rPr>
      </w:pPr>
    </w:p>
    <w:p w14:paraId="6AFE7247" w14:textId="77777777" w:rsidR="00B36DD7" w:rsidRDefault="00B36DD7">
      <w:pPr>
        <w:spacing w:after="0" w:line="240" w:lineRule="auto"/>
        <w:jc w:val="center"/>
        <w:rPr>
          <w:sz w:val="24"/>
          <w:szCs w:val="24"/>
        </w:rPr>
      </w:pPr>
    </w:p>
    <w:p w14:paraId="3E730BD3" w14:textId="77777777" w:rsidR="00B36DD7" w:rsidRDefault="00B36DD7">
      <w:pPr>
        <w:spacing w:after="0" w:line="240" w:lineRule="auto"/>
        <w:jc w:val="center"/>
        <w:rPr>
          <w:sz w:val="24"/>
          <w:szCs w:val="24"/>
        </w:rPr>
      </w:pPr>
    </w:p>
    <w:p w14:paraId="5E996535" w14:textId="77777777" w:rsidR="00B36DD7" w:rsidRDefault="00B36DD7">
      <w:pPr>
        <w:spacing w:after="0" w:line="240" w:lineRule="auto"/>
        <w:jc w:val="center"/>
        <w:rPr>
          <w:sz w:val="24"/>
          <w:szCs w:val="24"/>
        </w:rPr>
      </w:pPr>
    </w:p>
    <w:p w14:paraId="3DCC8E00" w14:textId="77777777" w:rsidR="00B36DD7" w:rsidRDefault="00B36DD7">
      <w:pPr>
        <w:spacing w:after="0" w:line="240" w:lineRule="auto"/>
        <w:jc w:val="center"/>
        <w:rPr>
          <w:sz w:val="24"/>
          <w:szCs w:val="24"/>
        </w:rPr>
      </w:pPr>
    </w:p>
    <w:p w14:paraId="6B70777B" w14:textId="77777777" w:rsidR="00B36DD7" w:rsidRDefault="00B36DD7">
      <w:pPr>
        <w:spacing w:after="0" w:line="240" w:lineRule="auto"/>
        <w:jc w:val="center"/>
        <w:rPr>
          <w:sz w:val="24"/>
          <w:szCs w:val="24"/>
        </w:rPr>
      </w:pPr>
    </w:p>
    <w:p w14:paraId="54A48F96" w14:textId="77777777" w:rsidR="00B36DD7" w:rsidRDefault="00B36DD7">
      <w:pPr>
        <w:spacing w:after="0" w:line="240" w:lineRule="auto"/>
        <w:jc w:val="center"/>
        <w:rPr>
          <w:sz w:val="24"/>
          <w:szCs w:val="24"/>
        </w:rPr>
      </w:pPr>
    </w:p>
    <w:p w14:paraId="48254888" w14:textId="77777777" w:rsidR="00B36DD7" w:rsidRDefault="00B36DD7">
      <w:pPr>
        <w:spacing w:after="0" w:line="240" w:lineRule="auto"/>
        <w:jc w:val="center"/>
        <w:rPr>
          <w:sz w:val="24"/>
          <w:szCs w:val="24"/>
        </w:rPr>
      </w:pPr>
    </w:p>
    <w:p w14:paraId="595C577B" w14:textId="77777777" w:rsidR="00B36DD7" w:rsidRDefault="00B36DD7">
      <w:pPr>
        <w:spacing w:after="0" w:line="240" w:lineRule="auto"/>
        <w:jc w:val="center"/>
        <w:rPr>
          <w:sz w:val="24"/>
          <w:szCs w:val="24"/>
        </w:rPr>
      </w:pPr>
    </w:p>
    <w:p w14:paraId="4694EDDD" w14:textId="77777777" w:rsidR="00B36DD7" w:rsidRDefault="00B36DD7">
      <w:pPr>
        <w:spacing w:after="0" w:line="240" w:lineRule="auto"/>
        <w:jc w:val="center"/>
        <w:rPr>
          <w:sz w:val="24"/>
          <w:szCs w:val="24"/>
        </w:rPr>
      </w:pPr>
    </w:p>
    <w:p w14:paraId="5A760B81" w14:textId="77777777" w:rsidR="00B36DD7" w:rsidRDefault="00B36DD7">
      <w:pPr>
        <w:spacing w:after="0" w:line="240" w:lineRule="auto"/>
        <w:jc w:val="center"/>
        <w:rPr>
          <w:sz w:val="24"/>
          <w:szCs w:val="24"/>
        </w:rPr>
      </w:pPr>
    </w:p>
    <w:p w14:paraId="7DA433FE" w14:textId="77777777" w:rsidR="00B36DD7" w:rsidRDefault="00B36DD7">
      <w:pPr>
        <w:spacing w:after="0" w:line="240" w:lineRule="auto"/>
        <w:jc w:val="center"/>
        <w:rPr>
          <w:sz w:val="24"/>
          <w:szCs w:val="24"/>
        </w:rPr>
      </w:pPr>
    </w:p>
    <w:p w14:paraId="1F6B9934" w14:textId="77777777" w:rsidR="00B36DD7" w:rsidRDefault="00B36DD7">
      <w:pPr>
        <w:spacing w:after="0" w:line="240" w:lineRule="auto"/>
        <w:jc w:val="center"/>
        <w:rPr>
          <w:b/>
          <w:sz w:val="24"/>
          <w:szCs w:val="24"/>
        </w:rPr>
      </w:pPr>
    </w:p>
    <w:p w14:paraId="7DE1122A" w14:textId="77777777" w:rsidR="00B36DD7" w:rsidRDefault="00B36DD7">
      <w:pPr>
        <w:spacing w:after="0" w:line="240" w:lineRule="auto"/>
        <w:jc w:val="center"/>
        <w:rPr>
          <w:sz w:val="24"/>
          <w:szCs w:val="24"/>
        </w:rPr>
      </w:pPr>
    </w:p>
    <w:p w14:paraId="3E82D0E4" w14:textId="77777777" w:rsidR="00B36DD7" w:rsidRDefault="00B36DD7">
      <w:pPr>
        <w:spacing w:after="0" w:line="240" w:lineRule="auto"/>
        <w:jc w:val="center"/>
        <w:rPr>
          <w:sz w:val="24"/>
          <w:szCs w:val="24"/>
        </w:rPr>
      </w:pPr>
    </w:p>
    <w:p w14:paraId="3B948994" w14:textId="77777777" w:rsidR="00B36DD7" w:rsidRDefault="00B36DD7">
      <w:pPr>
        <w:spacing w:after="0" w:line="240" w:lineRule="auto"/>
        <w:jc w:val="center"/>
        <w:rPr>
          <w:sz w:val="24"/>
          <w:szCs w:val="24"/>
        </w:rPr>
      </w:pPr>
    </w:p>
    <w:p w14:paraId="4C6EC8EF" w14:textId="77777777" w:rsidR="00B36DD7" w:rsidRDefault="00B36DD7">
      <w:pPr>
        <w:spacing w:after="0" w:line="240" w:lineRule="auto"/>
        <w:jc w:val="center"/>
        <w:rPr>
          <w:sz w:val="24"/>
          <w:szCs w:val="24"/>
        </w:rPr>
      </w:pPr>
    </w:p>
    <w:p w14:paraId="511F4E51" w14:textId="77777777" w:rsidR="00B36DD7" w:rsidRDefault="00B36DD7">
      <w:pPr>
        <w:spacing w:after="0" w:line="240" w:lineRule="auto"/>
        <w:jc w:val="center"/>
        <w:rPr>
          <w:sz w:val="24"/>
          <w:szCs w:val="24"/>
        </w:rPr>
      </w:pPr>
    </w:p>
    <w:p w14:paraId="390C5CEE" w14:textId="77777777" w:rsidR="00B36DD7" w:rsidRDefault="00B36DD7">
      <w:pPr>
        <w:spacing w:after="0" w:line="240" w:lineRule="auto"/>
        <w:jc w:val="center"/>
        <w:rPr>
          <w:sz w:val="24"/>
          <w:szCs w:val="24"/>
        </w:rPr>
      </w:pPr>
    </w:p>
    <w:p w14:paraId="2A55F8B2" w14:textId="77777777" w:rsidR="00B36DD7" w:rsidRDefault="00B36DD7">
      <w:pPr>
        <w:spacing w:after="0" w:line="240" w:lineRule="auto"/>
        <w:jc w:val="center"/>
        <w:rPr>
          <w:sz w:val="24"/>
          <w:szCs w:val="24"/>
        </w:rPr>
      </w:pPr>
    </w:p>
    <w:p w14:paraId="3F327D29" w14:textId="77777777" w:rsidR="00B36DD7" w:rsidRDefault="00B56EEE">
      <w:pPr>
        <w:spacing w:after="0" w:line="240" w:lineRule="auto"/>
        <w:jc w:val="center"/>
        <w:rPr>
          <w:b/>
        </w:rPr>
      </w:pPr>
      <w:r>
        <w:t xml:space="preserve">Reported by </w:t>
      </w:r>
      <w:r>
        <w:rPr>
          <w:b/>
        </w:rPr>
        <w:t xml:space="preserve">Graduate Core Competency Chair, Dr. Jessica Hannigan and </w:t>
      </w:r>
    </w:p>
    <w:p w14:paraId="0EF86617" w14:textId="77777777" w:rsidR="00B36DD7" w:rsidRDefault="00B56EEE">
      <w:pPr>
        <w:spacing w:after="0" w:line="240" w:lineRule="auto"/>
        <w:jc w:val="center"/>
      </w:pPr>
      <w:r>
        <w:rPr>
          <w:b/>
        </w:rPr>
        <w:t>University Faculty Director of Assessment, Dr. Douglas Fraleigh</w:t>
      </w:r>
    </w:p>
    <w:p w14:paraId="6A712BD0" w14:textId="77777777" w:rsidR="00B36DD7" w:rsidRDefault="00B56EE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CALIFORNIA STATE UNIVERSITY, FRESNO</w:t>
      </w:r>
    </w:p>
    <w:p w14:paraId="12AAB1E4" w14:textId="77777777" w:rsidR="00B36DD7" w:rsidRDefault="00B56EE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2022</w:t>
      </w:r>
    </w:p>
    <w:p w14:paraId="39773DD0" w14:textId="77777777" w:rsidR="00B36DD7" w:rsidRDefault="00B36DD7">
      <w:pPr>
        <w:spacing w:after="0" w:line="240" w:lineRule="auto"/>
        <w:jc w:val="center"/>
        <w:rPr>
          <w:b/>
          <w:sz w:val="24"/>
          <w:szCs w:val="24"/>
        </w:rPr>
        <w:sectPr w:rsidR="00B36DD7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E8B2111" w14:textId="77777777" w:rsidR="00B36DD7" w:rsidRDefault="00B36DD7">
      <w:pPr>
        <w:spacing w:after="0" w:line="240" w:lineRule="auto"/>
        <w:rPr>
          <w:sz w:val="8"/>
          <w:szCs w:val="8"/>
        </w:rPr>
        <w:sectPr w:rsidR="00B36DD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A804E1D" w14:textId="77777777" w:rsidR="00B36DD7" w:rsidRDefault="00B56EEE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B36DD7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DA94374" wp14:editId="218D84F8">
            <wp:simplePos x="0" y="0"/>
            <wp:positionH relativeFrom="column">
              <wp:posOffset>1009650</wp:posOffset>
            </wp:positionH>
            <wp:positionV relativeFrom="paragraph">
              <wp:posOffset>3810</wp:posOffset>
            </wp:positionV>
            <wp:extent cx="3924300" cy="269875"/>
            <wp:effectExtent l="0" t="0" r="0" b="0"/>
            <wp:wrapSquare wrapText="bothSides" distT="0" distB="0" distL="114300" distR="114300"/>
            <wp:docPr id="4" name="image2.gif" descr="Fresno Stat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Fresno State 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69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416636" w14:textId="77777777" w:rsidR="00B36DD7" w:rsidRDefault="00B36DD7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FAD785" w14:textId="77777777" w:rsidR="00B36DD7" w:rsidRDefault="00B56EE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Report on the Assessment of </w:t>
      </w:r>
    </w:p>
    <w:p w14:paraId="2C2AE21C" w14:textId="77777777" w:rsidR="00B36DD7" w:rsidRDefault="00B56EE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Graduate Programs Discipline-Specific Methodology </w:t>
      </w:r>
    </w:p>
    <w:p w14:paraId="04310905" w14:textId="77777777" w:rsidR="00B36DD7" w:rsidRDefault="00B56EE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California State University, Fresno</w:t>
      </w:r>
    </w:p>
    <w:p w14:paraId="6833A4CF" w14:textId="77777777" w:rsidR="00B36DD7" w:rsidRDefault="00B56EE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July 1, 2022</w:t>
      </w:r>
    </w:p>
    <w:p w14:paraId="2046888B" w14:textId="77777777" w:rsidR="00B36DD7" w:rsidRDefault="00B36D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F11330" w14:textId="77777777" w:rsidR="00B36DD7" w:rsidRDefault="00B56EE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EXECUTIVE SUMMARY</w:t>
      </w:r>
    </w:p>
    <w:p w14:paraId="5779F858" w14:textId="77777777" w:rsidR="00B36DD7" w:rsidRDefault="00B36DD7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3934FC" w14:textId="77777777" w:rsidR="00B36DD7" w:rsidRDefault="00B56EEE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Background</w:t>
      </w:r>
    </w:p>
    <w:p w14:paraId="16B2B2C4" w14:textId="77777777" w:rsidR="00B36DD7" w:rsidRDefault="00B56EEE">
      <w:pPr>
        <w:spacing w:after="0" w:line="480" w:lineRule="auto"/>
        <w:rPr>
          <w:rFonts w:ascii="Arial" w:eastAsia="Arial" w:hAnsi="Arial" w:cs="Arial"/>
          <w:color w:val="333333"/>
          <w:sz w:val="24"/>
          <w:szCs w:val="24"/>
          <w:shd w:val="clear" w:color="auto" w:fill="FAFAF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WSCUC Standard of Accreditation 4.1 requires that “the institution employs a deliberate set of quality-assurance processes in both academic and non-academic areas, including … assessment of student learning.”  At the undergraduate level, WSCUC Criteria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Review 2.2a requires that </w:t>
      </w:r>
      <w:r>
        <w:rPr>
          <w:rFonts w:ascii="Arial" w:eastAsia="Arial" w:hAnsi="Arial" w:cs="Arial"/>
          <w:color w:val="333333"/>
          <w:sz w:val="24"/>
          <w:szCs w:val="24"/>
          <w:shd w:val="clear" w:color="auto" w:fill="FAFAFA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>programs ensure the development of core competencies including, but not limited to, written and oral communication, quantitative reasoning, information literacy, and critical thinking.”  At the graduate level, the WSCUC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AFAFA"/>
        </w:rPr>
        <w:t xml:space="preserve"> 2013 Han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AFAFA"/>
        </w:rPr>
        <w:t xml:space="preserve">dbook of Accreditation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>provides that “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AFAFA"/>
        </w:rPr>
        <w:t xml:space="preserve">graduate programs and graduate-only institutions are expected to define and assess the generic intellectual competencies that are foundational in their field.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WSCUC Criteria for Review 2.2b provides that programs must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  <w:shd w:val="clear" w:color="auto" w:fill="FAFAFA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</w:rPr>
        <w:t>establish clearly stated objectives differentiated from and more advanced than undergraduate programs in terms ... student learning outcomes.”</w:t>
      </w:r>
      <w:r>
        <w:rPr>
          <w:rFonts w:ascii="Arial" w:eastAsia="Arial" w:hAnsi="Arial" w:cs="Arial"/>
          <w:color w:val="333333"/>
          <w:sz w:val="24"/>
          <w:szCs w:val="24"/>
          <w:shd w:val="clear" w:color="auto" w:fill="FAFAFA"/>
        </w:rPr>
        <w:t xml:space="preserve"> </w:t>
      </w:r>
    </w:p>
    <w:p w14:paraId="6080CF8F" w14:textId="77777777" w:rsidR="00B36DD7" w:rsidRDefault="00B56E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  <w:shd w:val="clear" w:color="auto" w:fill="FAFAF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a graduate faculty meeting in Fall of 2016, University Director of Assessment, Dr. Melissa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Jordine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di</w:t>
      </w:r>
      <w:r>
        <w:rPr>
          <w:rFonts w:ascii="Times New Roman" w:eastAsia="Times New Roman" w:hAnsi="Times New Roman" w:cs="Times New Roman"/>
          <w:sz w:val="24"/>
          <w:szCs w:val="24"/>
        </w:rPr>
        <w:t>scussed this issue thoroughly with the faculty who attended. A majority of those faculty agreed to provide feedback on potential graduate core competencies to be assessed University-wide. A Qualtrics survey based upon this discussion was created and sent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all faculty members, including those who had not attended the graduate meeting. The responses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indicated a clear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consensus of opinion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Nearly all respondents, with two exceptions, recommended adopting three core competencies--written communication, advan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ced disciplinary knowledge or skill, and research/discipline-specific methodology.  </w:t>
      </w:r>
    </w:p>
    <w:p w14:paraId="48A7904B" w14:textId="77777777" w:rsidR="00B36DD7" w:rsidRDefault="00B56E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At a March 4,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Graduate Coordinators’ meeting, a plan for graduate core competency assessment was established. The plan included a rotation through three graduate core competencies 1) Advanced Disciplinary Knowledge/Skill, 2) Research Method (Dis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cipline-Specific Methodology), and 3) Written Communication. In 2019, a pilot assessment of written communication was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conducted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feedback was attained to ensure the graduate core competencies captured a wide spread of disciplines and their culminating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xercises across the university. In 2020, Advanced Knowledge/Skill graduate core competency was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implemented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findings were shared in an executive summary dated August 9, 2021. In 2021-2022, Discipline-Specific Methodology graduate core competency was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z w:val="24"/>
          <w:szCs w:val="24"/>
        </w:rPr>
        <w:t>lemented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findings are shared in this executive summary. In 2022-2023, the core competency Written Communication will be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implemented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the rotation will continue.  Each of the three graduate core competencies will be assessed on a rotating basis:</w:t>
      </w:r>
    </w:p>
    <w:p w14:paraId="5F5763F0" w14:textId="77777777" w:rsidR="00B36DD7" w:rsidRDefault="00B56EEE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4D32F10A" wp14:editId="3655E965">
            <wp:extent cx="5943600" cy="12319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A1CE19" w14:textId="77777777" w:rsidR="00B36DD7" w:rsidRDefault="00B56EE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ecifically, in each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rotationation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cycle: </w:t>
      </w:r>
    </w:p>
    <w:p w14:paraId="786C5BBC" w14:textId="77777777" w:rsidR="00B36DD7" w:rsidRDefault="00B56EE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Graduate students’ culminating experiences will be evaluated for the corresponding core competency being assessed.</w:t>
      </w:r>
    </w:p>
    <w:p w14:paraId="70084683" w14:textId="77777777" w:rsidR="00B36DD7" w:rsidRDefault="00B56EE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 graduate program had less than ten students graduate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a given year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(summer, fall, and spring</w:t>
      </w:r>
      <w:r>
        <w:rPr>
          <w:rFonts w:ascii="Times New Roman" w:eastAsia="Times New Roman" w:hAnsi="Times New Roman" w:cs="Times New Roman"/>
          <w:sz w:val="24"/>
          <w:szCs w:val="24"/>
        </w:rPr>
        <w:t>), then all culminating experiences will be assessed.  If a program has ten or more students graduate, then ten culminating experiences will be randomly selected for assessment.</w:t>
      </w:r>
    </w:p>
    <w:p w14:paraId="0885FC51" w14:textId="5BEAFCD5" w:rsidR="00B36DD7" w:rsidRDefault="00B56EEE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common rubric will be utilized for each core competency and used to assess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tudents’ performance. Each graduate core competency rubric was developed based on graduate coordinators’ feedback and finalized by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university assessment coordinator subcommittee. </w:t>
      </w:r>
    </w:p>
    <w:p w14:paraId="172D521F" w14:textId="77777777" w:rsidR="00B36DD7" w:rsidRDefault="00B56EEE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reporting form will be provided to each graduate coordinator.  After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faculty score the students’ work and provide comments, the form will be returned to the Core Competency Assessment Chair and University Director of Assessment.  </w:t>
      </w:r>
    </w:p>
    <w:p w14:paraId="40B4268F" w14:textId="77777777" w:rsidR="00B36DD7" w:rsidRDefault="00B36DD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A3817BC" w14:textId="77777777" w:rsidR="00B36DD7" w:rsidRDefault="00B56EEE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Graduate Programs Discipline-Specific Evaluation Process</w:t>
      </w:r>
    </w:p>
    <w:p w14:paraId="34F374B1" w14:textId="4F3FC164" w:rsidR="00B36DD7" w:rsidRDefault="00B56E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For AY 2021-22, Discipline-Spec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ific Methodology was assessed.  The assessment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overseen by the Director of Assessment, Dr. Douglas Fraleigh, and </w:t>
      </w:r>
      <w:r w:rsidR="006E65D3"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sz w:val="24"/>
          <w:szCs w:val="24"/>
        </w:rPr>
        <w:t>ed by the Graduate Core Competency Chair, Dr. Jessica Hannigan.  Students’ culminating experiences were assessed using a rubric devel</w:t>
      </w:r>
      <w:r>
        <w:rPr>
          <w:rFonts w:ascii="Times New Roman" w:eastAsia="Times New Roman" w:hAnsi="Times New Roman" w:cs="Times New Roman"/>
          <w:sz w:val="24"/>
          <w:szCs w:val="24"/>
        </w:rPr>
        <w:t>oped collectively by the graduate coordinators (see Appendix A).</w:t>
      </w:r>
    </w:p>
    <w:p w14:paraId="7AD08BA1" w14:textId="77777777" w:rsidR="00B36DD7" w:rsidRDefault="00B56E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Students were assessed on three criteria, demonstration of discipline-specific methodology: </w:t>
      </w:r>
    </w:p>
    <w:p w14:paraId="2D899DD2" w14:textId="77777777" w:rsidR="00B36DD7" w:rsidRDefault="00B56EEE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Criteria 1.  Appropriate discipline-specific methodology selection for scholarship. </w:t>
      </w:r>
    </w:p>
    <w:p w14:paraId="13783E5C" w14:textId="77777777" w:rsidR="00B36DD7" w:rsidRDefault="00B56EEE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Criteria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2.  Appropriate application of the discipline-specific methodology in the student’s scholarly or creative work.</w:t>
      </w:r>
    </w:p>
    <w:p w14:paraId="06FD0453" w14:textId="77777777" w:rsidR="00B36DD7" w:rsidRDefault="00B56EEE">
      <w:pPr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Criteria 3.   Appropriate reflection, analysis, and/or interpretation on the application of the discipline-specific methodology.  </w:t>
      </w:r>
    </w:p>
    <w:p w14:paraId="339BA0C5" w14:textId="77777777" w:rsidR="00B36DD7" w:rsidRDefault="00B56E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received a score of 3 (advanced proficiency), 2 (proficiency), or 1 (partial proficiency) on each criterion.  The benchmark was that 90% of students would receive a score of 2 (proficiency) or higher on all three criteria. </w:t>
      </w:r>
    </w:p>
    <w:p w14:paraId="74737D61" w14:textId="77777777" w:rsidR="00B36DD7" w:rsidRDefault="00B56EEE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Graduate coordinators wer</w:t>
      </w:r>
      <w:r>
        <w:rPr>
          <w:rFonts w:ascii="Times New Roman" w:eastAsia="Times New Roman" w:hAnsi="Times New Roman" w:cs="Times New Roman"/>
          <w:sz w:val="24"/>
          <w:szCs w:val="24"/>
        </w:rPr>
        <w:t>e provided a variety of professional learning opportunities throughout the 2021-2022 academic year to ensure they understood the process for implementing the graduate core competency evaluation. Dr Fraleigh and Dr. Hannigan presented the information at thr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separate university level graduate coordinator meetings (provided during the beginning, middle and end) of the academic school year.  During these sessions, the why,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how of the graduate core competency evaluation implementation was covered. In </w:t>
      </w:r>
      <w:r>
        <w:rPr>
          <w:rFonts w:ascii="Times New Roman" w:eastAsia="Times New Roman" w:hAnsi="Times New Roman" w:cs="Times New Roman"/>
          <w:sz w:val="24"/>
          <w:szCs w:val="24"/>
        </w:rPr>
        <w:t>addition, reminder emails with specific instructions and opportunities for additional support were provided each semester to all graduate coordinators. In addition, a special graduate core competency support work session was provided in April 2022 to provi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an additional opportunity to learn how to implement the graduate core competency evaluation. One on one coaching opportunities were also provided to graduate coordinators who requested 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support throughout the academic school year. </w:t>
      </w:r>
    </w:p>
    <w:p w14:paraId="0D9DEDF3" w14:textId="77777777" w:rsidR="00B36DD7" w:rsidRDefault="00B56E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Results of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Graduate Programs Discipline-Specific Methodology Evaluation </w:t>
      </w:r>
    </w:p>
    <w:p w14:paraId="7EBE328E" w14:textId="77777777" w:rsidR="00B36DD7" w:rsidRDefault="00B56EE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Table 1 shows the graduate core competency Discipline-Specific Methodology Evaluation submissions and results at Fresno State. The benchmark was that 90% of students would receive a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core of 2 (proficiency) or higher on all three criteria.  The sample size of N=293 submissions was representative of rubric submissions from 36 graduate programs across the university.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Programs from each of the university’s eight colleges participated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assessments.  The results were as follows:   </w:t>
      </w:r>
    </w:p>
    <w:p w14:paraId="61A66307" w14:textId="77777777" w:rsidR="00B36DD7" w:rsidRDefault="00B56EEE">
      <w:pPr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Criteria 1 Proficiency (2 or above)</w:t>
      </w:r>
      <w:r>
        <w:rPr>
          <w:rFonts w:ascii="Times New Roman" w:eastAsia="Times New Roman" w:hAnsi="Times New Roman" w:cs="Times New Roman"/>
          <w:sz w:val="24"/>
          <w:szCs w:val="24"/>
        </w:rPr>
        <w:t>: 288, 98% of the submissions, earned a rating of 2 or higher.</w:t>
      </w:r>
    </w:p>
    <w:p w14:paraId="4731DDAE" w14:textId="77777777" w:rsidR="00B36DD7" w:rsidRDefault="00B56EEE">
      <w:pPr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Criteria 2 Proficiency (2 or above)</w:t>
      </w:r>
      <w:r>
        <w:rPr>
          <w:rFonts w:ascii="Times New Roman" w:eastAsia="Times New Roman" w:hAnsi="Times New Roman" w:cs="Times New Roman"/>
          <w:sz w:val="24"/>
          <w:szCs w:val="24"/>
        </w:rPr>
        <w:t>: 289, 99% of the submissions, earned a rating of 2 or higher.</w:t>
      </w:r>
    </w:p>
    <w:p w14:paraId="5F1249C1" w14:textId="77777777" w:rsidR="00B36DD7" w:rsidRDefault="00B56EE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Criteria 3 Proficiency (2 or above)</w:t>
      </w:r>
      <w:r>
        <w:rPr>
          <w:rFonts w:ascii="Times New Roman" w:eastAsia="Times New Roman" w:hAnsi="Times New Roman" w:cs="Times New Roman"/>
          <w:sz w:val="24"/>
          <w:szCs w:val="24"/>
        </w:rPr>
        <w:t>: 281, 96% of the submissions, earned a rating of 2 or higher.</w:t>
      </w:r>
    </w:p>
    <w:p w14:paraId="5BA46061" w14:textId="77777777" w:rsidR="00B36DD7" w:rsidRDefault="00B56EE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Overall Proficiency of (2 or above) for Criteria 1 - Criteria 3</w:t>
      </w:r>
      <w:r>
        <w:rPr>
          <w:rFonts w:ascii="Times New Roman" w:eastAsia="Times New Roman" w:hAnsi="Times New Roman" w:cs="Times New Roman"/>
          <w:sz w:val="24"/>
          <w:szCs w:val="24"/>
        </w:rPr>
        <w:t>: 279, 95% of the submissions ea</w:t>
      </w:r>
      <w:r>
        <w:rPr>
          <w:rFonts w:ascii="Times New Roman" w:eastAsia="Times New Roman" w:hAnsi="Times New Roman" w:cs="Times New Roman"/>
          <w:sz w:val="24"/>
          <w:szCs w:val="24"/>
        </w:rPr>
        <w:t>rned of a rating of 2 or better on all three criteria.</w:t>
      </w:r>
    </w:p>
    <w:p w14:paraId="4C125F53" w14:textId="77777777" w:rsidR="00B36DD7" w:rsidRDefault="00B36DD7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7DFD72E" w14:textId="77777777" w:rsidR="00B36DD7" w:rsidRDefault="00B56EE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Based on the 90% benchmark, expectations were met for student proficiency in the Discipline-Specific Methodology Core Competency. </w:t>
      </w:r>
    </w:p>
    <w:p w14:paraId="614EEC5B" w14:textId="77777777" w:rsidR="00B36DD7" w:rsidRDefault="00B36DD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CE4796" w14:textId="77777777" w:rsidR="00B36DD7" w:rsidRDefault="00B36DD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D07E1" w14:textId="77777777" w:rsidR="00B36DD7" w:rsidRDefault="00B36DD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41A07" w14:textId="77777777" w:rsidR="00B36DD7" w:rsidRDefault="00B36DD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A76FD7" w14:textId="77777777" w:rsidR="00B36DD7" w:rsidRDefault="00B56EE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Proficiency Scores Main Sample 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=293) (sample size is representative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of  submissions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from 36 graduate programs)</w:t>
      </w:r>
    </w:p>
    <w:tbl>
      <w:tblPr>
        <w:tblStyle w:val="a5"/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1185"/>
        <w:gridCol w:w="1680"/>
        <w:gridCol w:w="1590"/>
        <w:gridCol w:w="1650"/>
        <w:gridCol w:w="1440"/>
      </w:tblGrid>
      <w:tr w:rsidR="00B36DD7" w14:paraId="3EFCEC1E" w14:textId="77777777">
        <w:trPr>
          <w:jc w:val="center"/>
        </w:trPr>
        <w:tc>
          <w:tcPr>
            <w:tcW w:w="2310" w:type="dxa"/>
          </w:tcPr>
          <w:p w14:paraId="0F7A30CC" w14:textId="77777777" w:rsidR="00B36DD7" w:rsidRDefault="00B56E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Sample</w:t>
            </w:r>
          </w:p>
        </w:tc>
        <w:tc>
          <w:tcPr>
            <w:tcW w:w="1185" w:type="dxa"/>
          </w:tcPr>
          <w:p w14:paraId="5DAEC399" w14:textId="77777777" w:rsidR="00B36DD7" w:rsidRDefault="00B36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1492A07C" w14:textId="77777777" w:rsidR="00B36DD7" w:rsidRDefault="00B56E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Criteria 1 Proficiency </w:t>
            </w:r>
          </w:p>
          <w:p w14:paraId="58237363" w14:textId="77777777" w:rsidR="00B36DD7" w:rsidRDefault="00B56E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(2 or above) </w:t>
            </w:r>
          </w:p>
        </w:tc>
        <w:tc>
          <w:tcPr>
            <w:tcW w:w="1590" w:type="dxa"/>
          </w:tcPr>
          <w:p w14:paraId="630E7B99" w14:textId="77777777" w:rsidR="00B36DD7" w:rsidRDefault="00B56E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Criteria 2 Proficiency (2 or above) </w:t>
            </w:r>
          </w:p>
        </w:tc>
        <w:tc>
          <w:tcPr>
            <w:tcW w:w="1650" w:type="dxa"/>
          </w:tcPr>
          <w:p w14:paraId="3DA8863B" w14:textId="77777777" w:rsidR="00B36DD7" w:rsidRDefault="00B56E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Criteria 3 Proficiency </w:t>
            </w:r>
          </w:p>
          <w:p w14:paraId="0532639F" w14:textId="77777777" w:rsidR="00B36DD7" w:rsidRDefault="00B56E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(2 or above) </w:t>
            </w:r>
          </w:p>
        </w:tc>
        <w:tc>
          <w:tcPr>
            <w:tcW w:w="1440" w:type="dxa"/>
          </w:tcPr>
          <w:p w14:paraId="79248A99" w14:textId="77777777" w:rsidR="00B36DD7" w:rsidRDefault="00B56E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Overall Proficiency Cr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iteria 1-3 </w:t>
            </w:r>
          </w:p>
          <w:p w14:paraId="09E6067F" w14:textId="77777777" w:rsidR="00B36DD7" w:rsidRDefault="00B56E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 or above on all three criteria)</w:t>
            </w:r>
          </w:p>
          <w:p w14:paraId="5893F3CD" w14:textId="77777777" w:rsidR="00B36DD7" w:rsidRDefault="00B36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DD7" w14:paraId="698C0FE1" w14:textId="77777777">
        <w:trPr>
          <w:jc w:val="center"/>
        </w:trPr>
        <w:tc>
          <w:tcPr>
            <w:tcW w:w="2310" w:type="dxa"/>
          </w:tcPr>
          <w:p w14:paraId="07FB2347" w14:textId="77777777" w:rsidR="00B36DD7" w:rsidRDefault="00B56E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All Submissions </w:t>
            </w:r>
          </w:p>
          <w:p w14:paraId="48850F3E" w14:textId="77777777" w:rsidR="00B36DD7" w:rsidRDefault="00B56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Projects (118)</w:t>
            </w:r>
          </w:p>
          <w:p w14:paraId="33A69D0F" w14:textId="77777777" w:rsidR="00B36DD7" w:rsidRDefault="00B56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Thesis (63)</w:t>
            </w:r>
          </w:p>
          <w:p w14:paraId="19E412A2" w14:textId="77777777" w:rsidR="00B36DD7" w:rsidRDefault="00B56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Comprehensive Exams (59)</w:t>
            </w:r>
          </w:p>
          <w:p w14:paraId="5DAB7D95" w14:textId="77777777" w:rsidR="00B36DD7" w:rsidRDefault="00B56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Exit Seminar (10)</w:t>
            </w:r>
          </w:p>
          <w:p w14:paraId="16FDA7D4" w14:textId="77777777" w:rsidR="00B36DD7" w:rsidRDefault="00B56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E-Portfolio (10) </w:t>
            </w:r>
          </w:p>
          <w:p w14:paraId="1C1C3CAB" w14:textId="77777777" w:rsidR="00B36DD7" w:rsidRDefault="00B56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Culminating Experience (33)  </w:t>
            </w:r>
          </w:p>
        </w:tc>
        <w:tc>
          <w:tcPr>
            <w:tcW w:w="1185" w:type="dxa"/>
          </w:tcPr>
          <w:p w14:paraId="02503EFF" w14:textId="77777777" w:rsidR="00B36DD7" w:rsidRDefault="00B5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= 293</w:t>
            </w:r>
          </w:p>
        </w:tc>
        <w:tc>
          <w:tcPr>
            <w:tcW w:w="1680" w:type="dxa"/>
          </w:tcPr>
          <w:p w14:paraId="5B8D6C11" w14:textId="77777777" w:rsidR="00B36DD7" w:rsidRDefault="00B5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90" w:type="dxa"/>
          </w:tcPr>
          <w:p w14:paraId="5B77A131" w14:textId="77777777" w:rsidR="00B36DD7" w:rsidRDefault="00B5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650" w:type="dxa"/>
          </w:tcPr>
          <w:p w14:paraId="176FBD8E" w14:textId="77777777" w:rsidR="00B36DD7" w:rsidRDefault="00B5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440" w:type="dxa"/>
          </w:tcPr>
          <w:p w14:paraId="34C7A184" w14:textId="77777777" w:rsidR="00B36DD7" w:rsidRDefault="00B5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B36DD7" w14:paraId="5C0568CE" w14:textId="77777777">
        <w:trPr>
          <w:jc w:val="center"/>
        </w:trPr>
        <w:tc>
          <w:tcPr>
            <w:tcW w:w="2310" w:type="dxa"/>
          </w:tcPr>
          <w:p w14:paraId="3D4A1D27" w14:textId="77777777" w:rsidR="00B36DD7" w:rsidRDefault="00B36D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</w:p>
          <w:p w14:paraId="5F4D4904" w14:textId="77777777" w:rsidR="00B36DD7" w:rsidRDefault="00B56E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Proficiency Benchmark is 90% or higher </w:t>
            </w:r>
          </w:p>
        </w:tc>
        <w:tc>
          <w:tcPr>
            <w:tcW w:w="1185" w:type="dxa"/>
          </w:tcPr>
          <w:p w14:paraId="32F71537" w14:textId="77777777" w:rsidR="00B36DD7" w:rsidRDefault="00B36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0" w:type="dxa"/>
          </w:tcPr>
          <w:p w14:paraId="4BF5B4FF" w14:textId="77777777" w:rsidR="00B36DD7" w:rsidRDefault="00B36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2D888F" w14:textId="77777777" w:rsidR="00B36DD7" w:rsidRDefault="00B5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590" w:type="dxa"/>
          </w:tcPr>
          <w:p w14:paraId="69DC9B55" w14:textId="77777777" w:rsidR="00B36DD7" w:rsidRDefault="00B36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ED5C" w14:textId="77777777" w:rsidR="00B36DD7" w:rsidRDefault="00B5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650" w:type="dxa"/>
          </w:tcPr>
          <w:p w14:paraId="6281C853" w14:textId="77777777" w:rsidR="00B36DD7" w:rsidRDefault="00B36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EEF331" w14:textId="77777777" w:rsidR="00B36DD7" w:rsidRDefault="00B5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440" w:type="dxa"/>
          </w:tcPr>
          <w:p w14:paraId="14F46CE1" w14:textId="77777777" w:rsidR="00B36DD7" w:rsidRDefault="00B36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1B18F" w14:textId="77777777" w:rsidR="00B36DD7" w:rsidRDefault="00B56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</w:tr>
    </w:tbl>
    <w:p w14:paraId="569286F8" w14:textId="77777777" w:rsidR="00B36DD7" w:rsidRDefault="00B36DD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50C184" w14:textId="77777777" w:rsidR="00B36DD7" w:rsidRDefault="00B36DD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1CD49A" w14:textId="77777777" w:rsidR="00B36DD7" w:rsidRDefault="00B56E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Table 2 shows overall discipline-specific methodology graduate core competency themes and </w:t>
      </w:r>
    </w:p>
    <w:p w14:paraId="6C14BDC8" w14:textId="77777777" w:rsidR="00B36DD7" w:rsidRDefault="00B56E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faculty comments. It is important to note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279 of the 293 submissions met the benchmark of </w:t>
      </w:r>
    </w:p>
    <w:p w14:paraId="72C19771" w14:textId="77777777" w:rsidR="00B36DD7" w:rsidRDefault="00B56E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proficiency in each of the three criteria.  However, there were some submissions that missed the </w:t>
      </w:r>
    </w:p>
    <w:p w14:paraId="07DBB893" w14:textId="77777777" w:rsidR="00B36DD7" w:rsidRDefault="00B56E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benchmark.  Five culminating experiences did not meet criteria 1, four did not meet criteria 2, </w:t>
      </w:r>
    </w:p>
    <w:p w14:paraId="13448FE2" w14:textId="77777777" w:rsidR="00B36DD7" w:rsidRDefault="00B56E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12 did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meet criteria 3.  Fourteen submissions did not meet the benchmark of satisfying </w:t>
      </w:r>
    </w:p>
    <w:p w14:paraId="48509895" w14:textId="77777777" w:rsidR="00B36DD7" w:rsidRDefault="00B56E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three criteria.  It is also important to note, that submissions not meeting criteria 3 (12 </w:t>
      </w:r>
    </w:p>
    <w:p w14:paraId="56FA70E8" w14:textId="77777777" w:rsidR="00B36DD7" w:rsidRDefault="00B56E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submissions)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  higher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than submissions not meeting criteria 1 and criteri</w:t>
      </w:r>
      <w:r>
        <w:rPr>
          <w:rFonts w:ascii="Times New Roman" w:eastAsia="Times New Roman" w:hAnsi="Times New Roman" w:cs="Times New Roman"/>
          <w:sz w:val="24"/>
          <w:szCs w:val="24"/>
        </w:rPr>
        <w:t>a 2, demonstrating a</w:t>
      </w:r>
    </w:p>
    <w:p w14:paraId="60CA59E2" w14:textId="77777777" w:rsidR="00B36DD7" w:rsidRDefault="00B56E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need to help students with the appropriate reflection, analysis, and/or interpretation on the </w:t>
      </w:r>
    </w:p>
    <w:p w14:paraId="4DE718A1" w14:textId="77777777" w:rsidR="00B36DD7" w:rsidRDefault="00B56E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application of the discipline-specific methodology. </w:t>
      </w:r>
    </w:p>
    <w:p w14:paraId="35A8B70C" w14:textId="77777777" w:rsidR="00B36DD7" w:rsidRDefault="00B56EE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Overall, based on faculty comments that accompanied graduate program submissions, input derived from the student rubric submissions, students demonstrated more strengths than areas of needs. Table 2 provides common themes and representative corresponding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omments. </w:t>
      </w:r>
    </w:p>
    <w:p w14:paraId="24832A0B" w14:textId="77777777" w:rsidR="00B36DD7" w:rsidRDefault="00B56E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F0A3F0" w14:textId="77777777" w:rsidR="00B36DD7" w:rsidRDefault="00B56EEE">
      <w:pPr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Table of Overall Discipline-Specific Methodology Graduate Core Competency Themes and Faculty Comments</w:t>
      </w:r>
    </w:p>
    <w:tbl>
      <w:tblPr>
        <w:tblStyle w:val="a6"/>
        <w:tblW w:w="9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5265"/>
      </w:tblGrid>
      <w:tr w:rsidR="00B36DD7" w14:paraId="44E2B186" w14:textId="77777777">
        <w:trPr>
          <w:trHeight w:val="420"/>
        </w:trPr>
        <w:tc>
          <w:tcPr>
            <w:tcW w:w="95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1403" w14:textId="77777777" w:rsidR="00B36DD7" w:rsidRDefault="00B56EE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21-22 Discipline Specific Methodology </w:t>
            </w:r>
          </w:p>
        </w:tc>
      </w:tr>
      <w:tr w:rsidR="00B36DD7" w14:paraId="66AA4873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33E0" w14:textId="77777777" w:rsidR="00B36DD7" w:rsidRDefault="00B56EEE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Themes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FFC2E" w14:textId="77777777" w:rsidR="00B36DD7" w:rsidRDefault="00B56EEE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Faculty Comments</w:t>
            </w:r>
          </w:p>
        </w:tc>
      </w:tr>
      <w:tr w:rsidR="00B36DD7" w14:paraId="747213F3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5884" w14:textId="77777777" w:rsidR="00B36DD7" w:rsidRDefault="00B56EE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Selecting, Description, and Application of Methodology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299A4" w14:textId="77777777" w:rsidR="00B36DD7" w:rsidRDefault="00B56EEE">
            <w:pPr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Correct selection, description, and evaluation of research methodology </w:t>
            </w:r>
          </w:p>
          <w:p w14:paraId="139D12AE" w14:textId="77777777" w:rsidR="00B36DD7" w:rsidRDefault="00B56EEE">
            <w:pPr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Students selected appropriate methodologies </w:t>
            </w:r>
          </w:p>
          <w:p w14:paraId="0BE2587C" w14:textId="77777777" w:rsidR="00B36DD7" w:rsidRDefault="00B56EEE">
            <w:pPr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Excellent job selecting, implementing, and executing their chosen methodology </w:t>
            </w:r>
          </w:p>
          <w:p w14:paraId="0569342A" w14:textId="77777777" w:rsidR="00B36DD7" w:rsidRDefault="00B56EEE">
            <w:pPr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Selected appropriate methodology </w:t>
            </w:r>
          </w:p>
          <w:p w14:paraId="3002DBB1" w14:textId="77777777" w:rsidR="00B36DD7" w:rsidRDefault="00B56EEE">
            <w:pPr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Demonstrates advanced level of knowledge together with application of knowledge</w:t>
            </w:r>
          </w:p>
          <w:p w14:paraId="78B2E41F" w14:textId="77777777" w:rsidR="00B36DD7" w:rsidRDefault="00B56EEE">
            <w:pPr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Selected appropriate methodology for our academic discipline</w:t>
            </w:r>
          </w:p>
          <w:p w14:paraId="01E67CC4" w14:textId="77777777" w:rsidR="00B36DD7" w:rsidRDefault="00B56EEE">
            <w:pPr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Ap</w:t>
            </w:r>
            <w:r>
              <w:rPr>
                <w:rFonts w:ascii="Arial" w:eastAsia="Arial" w:hAnsi="Arial" w:cs="Arial"/>
                <w:i/>
              </w:rPr>
              <w:t xml:space="preserve">plied appropriate qualitative methodology, insightful </w:t>
            </w:r>
            <w:proofErr w:type="gramStart"/>
            <w:r>
              <w:rPr>
                <w:rFonts w:ascii="Arial" w:eastAsia="Arial" w:hAnsi="Arial" w:cs="Arial"/>
                <w:i/>
              </w:rPr>
              <w:t>observations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and interpretations of data</w:t>
            </w:r>
          </w:p>
          <w:p w14:paraId="024D164A" w14:textId="77777777" w:rsidR="00B36DD7" w:rsidRDefault="00B56EEE">
            <w:pPr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Meta-analysis question for project strong and well-developed</w:t>
            </w:r>
          </w:p>
          <w:p w14:paraId="625CD95E" w14:textId="77777777" w:rsidR="00B36DD7" w:rsidRDefault="00B56EEE">
            <w:pPr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Used advanced tools and methods to study subject area (here, </w:t>
            </w:r>
            <w:proofErr w:type="spellStart"/>
            <w:r>
              <w:rPr>
                <w:rFonts w:ascii="Arial" w:eastAsia="Arial" w:hAnsi="Arial" w:cs="Arial"/>
                <w:i/>
              </w:rPr>
              <w:t>ecophysiological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traits of pistachio tr</w:t>
            </w:r>
            <w:r>
              <w:rPr>
                <w:rFonts w:ascii="Arial" w:eastAsia="Arial" w:hAnsi="Arial" w:cs="Arial"/>
                <w:i/>
              </w:rPr>
              <w:t>ees)</w:t>
            </w:r>
          </w:p>
          <w:p w14:paraId="1F0BDCBD" w14:textId="77777777" w:rsidR="00B36DD7" w:rsidRDefault="00B56EEE">
            <w:pPr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Novel approach, methodology is appropriate and rather advanced</w:t>
            </w:r>
          </w:p>
          <w:p w14:paraId="251FF895" w14:textId="77777777" w:rsidR="00B36DD7" w:rsidRDefault="00B56EEE">
            <w:pPr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Passed national exam, excellent work in class</w:t>
            </w:r>
          </w:p>
          <w:p w14:paraId="56902F43" w14:textId="77777777" w:rsidR="00B36DD7" w:rsidRDefault="00B56EEE">
            <w:pPr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Did well in translating the research into the appropriate business analysis or plan</w:t>
            </w:r>
          </w:p>
        </w:tc>
      </w:tr>
      <w:tr w:rsidR="00B36DD7" w14:paraId="6AFB69EF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43FB8" w14:textId="77777777" w:rsidR="00B36DD7" w:rsidRDefault="00B56EE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Significance of Student Work, Connecting Theory to Practi</w:t>
            </w:r>
            <w:r>
              <w:rPr>
                <w:rFonts w:ascii="Arial" w:eastAsia="Arial" w:hAnsi="Arial" w:cs="Arial"/>
              </w:rPr>
              <w:t xml:space="preserve">ce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D6C28" w14:textId="77777777" w:rsidR="00B36DD7" w:rsidRDefault="00B56EEE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Connected project topics with inequities in the field </w:t>
            </w:r>
          </w:p>
          <w:p w14:paraId="7AEB0D19" w14:textId="77777777" w:rsidR="00B36DD7" w:rsidRDefault="00B56EEE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Critical for data acquisition and repeatability </w:t>
            </w:r>
          </w:p>
          <w:p w14:paraId="26627EBB" w14:textId="77777777" w:rsidR="00B36DD7" w:rsidRDefault="00B56EEE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>Top culminating experiences developed recommendations that could be used in the field under study</w:t>
            </w:r>
          </w:p>
          <w:p w14:paraId="2BA48F25" w14:textId="77777777" w:rsidR="00B36DD7" w:rsidRDefault="00B56EEE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>Very solid theoretical works, close to publishable in peer reviewed journals</w:t>
            </w:r>
          </w:p>
          <w:p w14:paraId="631455A8" w14:textId="77777777" w:rsidR="00B36DD7" w:rsidRDefault="00B56EEE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>Won the poster presentation at CCRS</w:t>
            </w:r>
          </w:p>
          <w:p w14:paraId="1E26F85B" w14:textId="77777777" w:rsidR="00B36DD7" w:rsidRDefault="00B56EEE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>Project examined social workers attitudes and</w:t>
            </w:r>
            <w:r>
              <w:rPr>
                <w:rFonts w:ascii="Arial" w:eastAsia="Arial" w:hAnsi="Arial" w:cs="Arial"/>
                <w:i/>
                <w:highlight w:val="white"/>
              </w:rPr>
              <w:t xml:space="preserve"> perceptions of homelessness, </w:t>
            </w:r>
            <w:proofErr w:type="gramStart"/>
            <w:r>
              <w:rPr>
                <w:rFonts w:ascii="Arial" w:eastAsia="Arial" w:hAnsi="Arial" w:cs="Arial"/>
                <w:i/>
                <w:highlight w:val="white"/>
              </w:rPr>
              <w:t>overall</w:t>
            </w:r>
            <w:proofErr w:type="gramEnd"/>
            <w:r>
              <w:rPr>
                <w:rFonts w:ascii="Arial" w:eastAsia="Arial" w:hAnsi="Arial" w:cs="Arial"/>
                <w:i/>
                <w:highlight w:val="white"/>
              </w:rPr>
              <w:t xml:space="preserve"> a </w:t>
            </w:r>
            <w:r>
              <w:rPr>
                <w:rFonts w:ascii="Arial" w:eastAsia="Arial" w:hAnsi="Arial" w:cs="Arial"/>
                <w:i/>
                <w:highlight w:val="white"/>
              </w:rPr>
              <w:lastRenderedPageBreak/>
              <w:t>strong project with implications for SW educators and practitioners</w:t>
            </w:r>
          </w:p>
          <w:p w14:paraId="58128B3B" w14:textId="77777777" w:rsidR="00B36DD7" w:rsidRDefault="00B56EEE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>Policy analysis of Fresno County school district policies for discipline, examined policies that contribute to the school to prison pipeline and pro</w:t>
            </w:r>
            <w:r>
              <w:rPr>
                <w:rFonts w:ascii="Arial" w:eastAsia="Arial" w:hAnsi="Arial" w:cs="Arial"/>
                <w:i/>
                <w:highlight w:val="white"/>
              </w:rPr>
              <w:t>posed changes that could reduce that effect</w:t>
            </w:r>
          </w:p>
          <w:p w14:paraId="5A743DE9" w14:textId="77777777" w:rsidR="00B36DD7" w:rsidRDefault="00B56EEE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>Very important topic (homeless youths with disabilities) and excellent choice of intervention</w:t>
            </w:r>
          </w:p>
          <w:p w14:paraId="3877E791" w14:textId="77777777" w:rsidR="00B36DD7" w:rsidRDefault="00B56EEE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>Application was thorough and discipline-specific (physical therapy), providing benefit to the field</w:t>
            </w:r>
          </w:p>
        </w:tc>
      </w:tr>
      <w:tr w:rsidR="00B36DD7" w14:paraId="7B7E1E42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E1DF" w14:textId="77777777" w:rsidR="00B36DD7" w:rsidRDefault="00B56EE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Deeper Analysis a</w:t>
            </w:r>
            <w:r>
              <w:rPr>
                <w:rFonts w:ascii="Arial" w:eastAsia="Arial" w:hAnsi="Arial" w:cs="Arial"/>
              </w:rPr>
              <w:t xml:space="preserve">nd Reflection (needs improvement)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4FF28" w14:textId="77777777" w:rsidR="00B36DD7" w:rsidRDefault="00B56EEE">
            <w:pPr>
              <w:widowControl w:val="0"/>
              <w:numPr>
                <w:ilvl w:val="0"/>
                <w:numId w:val="2"/>
              </w:numPr>
              <w:spacing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Need for additional connection to evidence in the analysis, more in depth reflection </w:t>
            </w:r>
          </w:p>
          <w:p w14:paraId="7CAD5E85" w14:textId="77777777" w:rsidR="00B36DD7" w:rsidRDefault="00B56EEE">
            <w:pPr>
              <w:widowControl w:val="0"/>
              <w:numPr>
                <w:ilvl w:val="0"/>
                <w:numId w:val="2"/>
              </w:numPr>
              <w:spacing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Areas that need improvement appear to be application and reflection/interpretation/analysis</w:t>
            </w:r>
          </w:p>
          <w:p w14:paraId="22100EFA" w14:textId="77777777" w:rsidR="00B36DD7" w:rsidRDefault="00B56EEE">
            <w:pPr>
              <w:widowControl w:val="0"/>
              <w:numPr>
                <w:ilvl w:val="0"/>
                <w:numId w:val="2"/>
              </w:numPr>
              <w:spacing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Students also need to be reminded of the importance of critical thinking/analysis in all three of the culminating experience options</w:t>
            </w:r>
          </w:p>
          <w:p w14:paraId="5D1B4DA2" w14:textId="77777777" w:rsidR="00B36DD7" w:rsidRDefault="00B56EEE">
            <w:pPr>
              <w:widowControl w:val="0"/>
              <w:numPr>
                <w:ilvl w:val="0"/>
                <w:numId w:val="2"/>
              </w:numPr>
              <w:spacing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Would need significant rewriting to be publishable</w:t>
            </w:r>
          </w:p>
        </w:tc>
      </w:tr>
      <w:tr w:rsidR="00B36DD7" w14:paraId="6F8AFB52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BC516" w14:textId="77777777" w:rsidR="00B36DD7" w:rsidRDefault="00B56EE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Graduate Writing Skills (needs improvement)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4A140" w14:textId="77777777" w:rsidR="00B36DD7" w:rsidRDefault="00B56EEE">
            <w:pPr>
              <w:widowControl w:val="0"/>
              <w:numPr>
                <w:ilvl w:val="0"/>
                <w:numId w:val="1"/>
              </w:numPr>
              <w:spacing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Would have benefited from </w:t>
            </w:r>
            <w:r>
              <w:rPr>
                <w:rFonts w:ascii="Arial" w:eastAsia="Arial" w:hAnsi="Arial" w:cs="Arial"/>
                <w:i/>
              </w:rPr>
              <w:t xml:space="preserve">greater attention to writing mechanics </w:t>
            </w:r>
          </w:p>
          <w:p w14:paraId="05CB004D" w14:textId="77777777" w:rsidR="00B36DD7" w:rsidRDefault="00B56EEE">
            <w:pPr>
              <w:widowControl w:val="0"/>
              <w:numPr>
                <w:ilvl w:val="0"/>
                <w:numId w:val="1"/>
              </w:numPr>
              <w:spacing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Some minor development in research and writing needed </w:t>
            </w:r>
          </w:p>
          <w:p w14:paraId="57D73A9A" w14:textId="77777777" w:rsidR="00B36DD7" w:rsidRDefault="00B56EEE">
            <w:pPr>
              <w:widowControl w:val="0"/>
              <w:numPr>
                <w:ilvl w:val="0"/>
                <w:numId w:val="1"/>
              </w:numPr>
              <w:spacing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Could apply APA manual more consistently</w:t>
            </w:r>
          </w:p>
          <w:p w14:paraId="76EFFB5C" w14:textId="77777777" w:rsidR="00B36DD7" w:rsidRDefault="00B56EEE">
            <w:pPr>
              <w:widowControl w:val="0"/>
              <w:numPr>
                <w:ilvl w:val="0"/>
                <w:numId w:val="1"/>
              </w:numPr>
              <w:spacing w:after="0"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Issues with clarity and sentence structure</w:t>
            </w:r>
          </w:p>
        </w:tc>
      </w:tr>
      <w:tr w:rsidR="00B36DD7" w14:paraId="43796FB5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85F37" w14:textId="77777777" w:rsidR="00B36DD7" w:rsidRDefault="00B56EE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Ideas for Enhancing Student Understanding and Reasoning for Methodology Sele</w:t>
            </w:r>
            <w:r>
              <w:rPr>
                <w:rFonts w:ascii="Arial" w:eastAsia="Arial" w:hAnsi="Arial" w:cs="Arial"/>
              </w:rPr>
              <w:t xml:space="preserve">ction and Application (needs improvement) 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9A683" w14:textId="77777777" w:rsidR="00B36DD7" w:rsidRDefault="00B56EE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Deeper analysis in the application section </w:t>
            </w:r>
          </w:p>
          <w:p w14:paraId="6705A7C9" w14:textId="77777777" w:rsidR="00B36DD7" w:rsidRDefault="00B56EE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 xml:space="preserve">Weakness is the reflection and interpretation of the selection process </w:t>
            </w:r>
          </w:p>
          <w:p w14:paraId="5F02ACB3" w14:textId="77777777" w:rsidR="00B36DD7" w:rsidRDefault="00B56EE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  <w:highlight w:val="white"/>
              </w:rPr>
              <w:t>Multiple revisions and guidance needed to gain adequate application and interpretation of results</w:t>
            </w:r>
          </w:p>
          <w:p w14:paraId="04A83156" w14:textId="77777777" w:rsidR="00B36DD7" w:rsidRDefault="00B56EEE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</w:rPr>
              <w:t>Could improve on choice of data to better align with clients’ needs</w:t>
            </w:r>
          </w:p>
        </w:tc>
      </w:tr>
    </w:tbl>
    <w:p w14:paraId="24BF46D3" w14:textId="77777777" w:rsidR="00B36DD7" w:rsidRDefault="00B36DD7">
      <w:pPr>
        <w:spacing w:after="0" w:line="276" w:lineRule="auto"/>
        <w:rPr>
          <w:rFonts w:ascii="Arial" w:eastAsia="Arial" w:hAnsi="Arial" w:cs="Arial"/>
        </w:rPr>
      </w:pPr>
    </w:p>
    <w:p w14:paraId="590CDED9" w14:textId="77777777" w:rsidR="00B36DD7" w:rsidRDefault="00B36DD7">
      <w:pPr>
        <w:spacing w:after="0" w:line="276" w:lineRule="auto"/>
        <w:rPr>
          <w:rFonts w:ascii="Arial" w:eastAsia="Arial" w:hAnsi="Arial" w:cs="Arial"/>
        </w:rPr>
      </w:pPr>
    </w:p>
    <w:p w14:paraId="5DCE0EA3" w14:textId="77777777" w:rsidR="00B36DD7" w:rsidRDefault="00B36DD7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5145AF5" w14:textId="77777777" w:rsidR="00B36DD7" w:rsidRDefault="00B36DD7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F23761" w14:textId="77777777" w:rsidR="00B36DD7" w:rsidRDefault="00B36DD7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435DEE" w14:textId="77777777" w:rsidR="00B36DD7" w:rsidRDefault="00B56EEE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Conclusions and Recommendations </w:t>
      </w:r>
    </w:p>
    <w:p w14:paraId="16773733" w14:textId="77777777" w:rsidR="00B36DD7" w:rsidRDefault="00B56EE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Based on the benchmark established for profici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ency, expectations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were met </w:t>
      </w:r>
      <w:r>
        <w:rPr>
          <w:rFonts w:ascii="Times New Roman" w:eastAsia="Times New Roman" w:hAnsi="Times New Roman" w:cs="Times New Roman"/>
          <w:sz w:val="24"/>
          <w:szCs w:val="24"/>
        </w:rPr>
        <w:t>for graduate student proficiency in the Discipline-Specific Methodology Core Competency.   Based on faculty comments strengths emerged in several areas:</w:t>
      </w:r>
    </w:p>
    <w:p w14:paraId="768D5ACB" w14:textId="60F2599C" w:rsidR="00B36DD7" w:rsidRDefault="00B56EEE">
      <w:pPr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Selection, Description, and Application of </w:t>
      </w:r>
      <w:r>
        <w:rPr>
          <w:rFonts w:ascii="Times New Roman" w:eastAsia="Times New Roman" w:hAnsi="Times New Roman" w:cs="Times New Roman"/>
          <w:sz w:val="24"/>
          <w:szCs w:val="24"/>
        </w:rPr>
        <w:t>Methodology</w:t>
      </w:r>
    </w:p>
    <w:p w14:paraId="27E11196" w14:textId="77777777" w:rsidR="00B36DD7" w:rsidRDefault="00B56EEE">
      <w:pPr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Significance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 Work</w:t>
      </w:r>
    </w:p>
    <w:p w14:paraId="006C7A71" w14:textId="77777777" w:rsidR="00B36DD7" w:rsidRDefault="00B56EEE">
      <w:pPr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Connecting Theory to Practice</w:t>
      </w:r>
    </w:p>
    <w:p w14:paraId="5CA1F773" w14:textId="77777777" w:rsidR="00B36DD7" w:rsidRDefault="00B56EE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Some areas for improvement included:</w:t>
      </w:r>
    </w:p>
    <w:p w14:paraId="4C9ECBAC" w14:textId="77777777" w:rsidR="00B36DD7" w:rsidRDefault="00B56EEE">
      <w:pPr>
        <w:numPr>
          <w:ilvl w:val="0"/>
          <w:numId w:val="9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Deeper Analysis and Reflection</w:t>
      </w:r>
    </w:p>
    <w:p w14:paraId="02F86313" w14:textId="77777777" w:rsidR="00B36DD7" w:rsidRDefault="00B56EEE">
      <w:pPr>
        <w:numPr>
          <w:ilvl w:val="0"/>
          <w:numId w:val="9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Graduate Writing Skills and Use of a Style Manual </w:t>
      </w:r>
    </w:p>
    <w:p w14:paraId="0DFD7E5C" w14:textId="77777777" w:rsidR="00B36DD7" w:rsidRDefault="00B56EEE">
      <w:pPr>
        <w:numPr>
          <w:ilvl w:val="0"/>
          <w:numId w:val="9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Understanding and Reasoning for Methodology Selection and Application</w:t>
      </w:r>
    </w:p>
    <w:p w14:paraId="50E55A94" w14:textId="77777777" w:rsidR="00B36DD7" w:rsidRDefault="00B56EE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Based on this analysis, we have met the benchmark but there is always room for improvement.  Some recommendations from this assessment include:</w:t>
      </w:r>
    </w:p>
    <w:p w14:paraId="09D0B15E" w14:textId="2E345EBF" w:rsidR="00B36DD7" w:rsidRDefault="00B56EEE">
      <w:pPr>
        <w:numPr>
          <w:ilvl w:val="0"/>
          <w:numId w:val="1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support for learning how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describe and align the methodology to </w:t>
      </w:r>
      <w:r w:rsidR="006E65D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work product</w:t>
      </w:r>
    </w:p>
    <w:p w14:paraId="26310F35" w14:textId="2A238B5F" w:rsidR="00B36DD7" w:rsidRDefault="00B56EEE">
      <w:pPr>
        <w:numPr>
          <w:ilvl w:val="0"/>
          <w:numId w:val="1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on analysis, reflection</w:t>
      </w:r>
      <w:r w:rsidR="006E65D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interpretation overall</w:t>
      </w:r>
    </w:p>
    <w:p w14:paraId="4321369A" w14:textId="30A68804" w:rsidR="00B36DD7" w:rsidRDefault="00B56EEE">
      <w:pPr>
        <w:numPr>
          <w:ilvl w:val="0"/>
          <w:numId w:val="1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Graduate level academic writing support (grammar, structure, APA</w:t>
      </w:r>
      <w:r w:rsidR="006E65D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other professional writing modality support)</w:t>
      </w:r>
    </w:p>
    <w:p w14:paraId="6C387D52" w14:textId="77777777" w:rsidR="00B36DD7" w:rsidRDefault="00B56EEE">
      <w:pPr>
        <w:numPr>
          <w:ilvl w:val="0"/>
          <w:numId w:val="1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Opportunities to explain the reasoning for the selection and application of the methodology </w:t>
      </w:r>
    </w:p>
    <w:p w14:paraId="4E2CA8A7" w14:textId="77777777" w:rsidR="00B36DD7" w:rsidRDefault="00B36DD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24EDDDF" w14:textId="77777777" w:rsidR="00B36DD7" w:rsidRDefault="00B36DD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A26743" w14:textId="77777777" w:rsidR="00B36DD7" w:rsidRDefault="00B56EEE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Appendix A.</w:t>
      </w:r>
    </w:p>
    <w:p w14:paraId="5F605878" w14:textId="77777777" w:rsidR="00B36DD7" w:rsidRDefault="00B56E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Graduate Core Competency: Discipline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-Specific Methodology Rubric </w:t>
      </w:r>
    </w:p>
    <w:tbl>
      <w:tblPr>
        <w:tblStyle w:val="a7"/>
        <w:tblW w:w="10875" w:type="dxa"/>
        <w:tblInd w:w="-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0"/>
        <w:gridCol w:w="2520"/>
        <w:gridCol w:w="2160"/>
        <w:gridCol w:w="2265"/>
      </w:tblGrid>
      <w:tr w:rsidR="00B36DD7" w14:paraId="24240AB0" w14:textId="77777777">
        <w:tc>
          <w:tcPr>
            <w:tcW w:w="3930" w:type="dxa"/>
          </w:tcPr>
          <w:p w14:paraId="0E2ED95A" w14:textId="77777777" w:rsidR="00B36DD7" w:rsidRDefault="00B36D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654F86F" w14:textId="77777777" w:rsidR="00B36DD7" w:rsidRDefault="00B56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Advanced Proficiency (3)</w:t>
            </w:r>
          </w:p>
        </w:tc>
        <w:tc>
          <w:tcPr>
            <w:tcW w:w="2160" w:type="dxa"/>
          </w:tcPr>
          <w:p w14:paraId="74CB90A4" w14:textId="77777777" w:rsidR="00B36DD7" w:rsidRDefault="00B56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Proficiency </w:t>
            </w:r>
          </w:p>
          <w:p w14:paraId="4078C702" w14:textId="77777777" w:rsidR="00B36DD7" w:rsidRDefault="00B56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265" w:type="dxa"/>
          </w:tcPr>
          <w:p w14:paraId="74777310" w14:textId="77777777" w:rsidR="00B36DD7" w:rsidRDefault="00B56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Partial Proficiency (1)</w:t>
            </w:r>
          </w:p>
          <w:p w14:paraId="258616C3" w14:textId="77777777" w:rsidR="00B36DD7" w:rsidRDefault="00B36D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DD7" w14:paraId="334E4594" w14:textId="77777777">
        <w:tc>
          <w:tcPr>
            <w:tcW w:w="3930" w:type="dxa"/>
          </w:tcPr>
          <w:p w14:paraId="15BABF3B" w14:textId="77777777" w:rsidR="00B36DD7" w:rsidRDefault="00B56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Appropriate discipline-specific methodology selection for scholarship (i.e., project, thesis, portfolio, project report, comprehensive exam, program culminating assignment etc.) </w:t>
            </w:r>
          </w:p>
        </w:tc>
        <w:tc>
          <w:tcPr>
            <w:tcW w:w="2520" w:type="dxa"/>
          </w:tcPr>
          <w:p w14:paraId="3847043D" w14:textId="77777777" w:rsidR="00B36DD7" w:rsidRDefault="00B56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Discipline-specific methodology selection is very clearly defined and describ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2160" w:type="dxa"/>
          </w:tcPr>
          <w:p w14:paraId="177A6EC8" w14:textId="77777777" w:rsidR="00B36DD7" w:rsidRDefault="00B56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Discipline-specific methodology selection is clearly described</w:t>
            </w:r>
          </w:p>
        </w:tc>
        <w:tc>
          <w:tcPr>
            <w:tcW w:w="2265" w:type="dxa"/>
          </w:tcPr>
          <w:p w14:paraId="4EF8A13B" w14:textId="77777777" w:rsidR="00B36DD7" w:rsidRDefault="00B56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Discipline-specific methodology selection is not clearly defined or described</w:t>
            </w:r>
          </w:p>
        </w:tc>
      </w:tr>
      <w:tr w:rsidR="00B36DD7" w14:paraId="74877BB6" w14:textId="77777777">
        <w:tc>
          <w:tcPr>
            <w:tcW w:w="3930" w:type="dxa"/>
          </w:tcPr>
          <w:p w14:paraId="5CCFFCE1" w14:textId="77777777" w:rsidR="00B36DD7" w:rsidRDefault="00B56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Appropriate application of the discipline-specific methodology in the student’s scholarly or creative work </w:t>
            </w:r>
          </w:p>
        </w:tc>
        <w:tc>
          <w:tcPr>
            <w:tcW w:w="2520" w:type="dxa"/>
          </w:tcPr>
          <w:p w14:paraId="322533D5" w14:textId="77777777" w:rsidR="00B36DD7" w:rsidRDefault="00B56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lication of the discipline-specific methodology is very well-aligned and described </w:t>
            </w:r>
          </w:p>
        </w:tc>
        <w:tc>
          <w:tcPr>
            <w:tcW w:w="2160" w:type="dxa"/>
          </w:tcPr>
          <w:p w14:paraId="58424207" w14:textId="77777777" w:rsidR="00B36DD7" w:rsidRDefault="00B56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Application of the discipline-specific methodology is clearly described </w:t>
            </w:r>
          </w:p>
        </w:tc>
        <w:tc>
          <w:tcPr>
            <w:tcW w:w="2265" w:type="dxa"/>
          </w:tcPr>
          <w:p w14:paraId="00EBE39C" w14:textId="77777777" w:rsidR="00B36DD7" w:rsidRDefault="00B56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Application of the discipline-specific methodology is not well-aligned and described </w:t>
            </w:r>
          </w:p>
        </w:tc>
      </w:tr>
      <w:tr w:rsidR="00B36DD7" w14:paraId="3C7A17AF" w14:textId="77777777">
        <w:tc>
          <w:tcPr>
            <w:tcW w:w="3930" w:type="dxa"/>
          </w:tcPr>
          <w:p w14:paraId="0CA1DD1F" w14:textId="77777777" w:rsidR="00B36DD7" w:rsidRDefault="00B56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Appropriate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reflection, analysis, and/or interpretation on the application of the discipline-specific methodology </w:t>
            </w:r>
          </w:p>
        </w:tc>
        <w:tc>
          <w:tcPr>
            <w:tcW w:w="2520" w:type="dxa"/>
          </w:tcPr>
          <w:p w14:paraId="38ACB1C6" w14:textId="77777777" w:rsidR="00B36DD7" w:rsidRDefault="00B56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Excellent reflection, analysis, and/or interpretation for use of discipline-specific methodology and outcome</w:t>
            </w:r>
          </w:p>
        </w:tc>
        <w:tc>
          <w:tcPr>
            <w:tcW w:w="2160" w:type="dxa"/>
          </w:tcPr>
          <w:p w14:paraId="542CC5A8" w14:textId="77777777" w:rsidR="00B36DD7" w:rsidRDefault="00B56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Reflection, analysis, and/or interpretation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use of discipline-specific methodology and outcome is evident </w:t>
            </w:r>
          </w:p>
        </w:tc>
        <w:tc>
          <w:tcPr>
            <w:tcW w:w="2265" w:type="dxa"/>
          </w:tcPr>
          <w:p w14:paraId="54A797DF" w14:textId="77777777" w:rsidR="00B36DD7" w:rsidRDefault="00B56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Reflection, analysis, and/or interpretation for use of discipline-specific methodology and outcome is not evident </w:t>
            </w:r>
          </w:p>
        </w:tc>
      </w:tr>
    </w:tbl>
    <w:p w14:paraId="32EB6DF7" w14:textId="77777777" w:rsidR="00B36DD7" w:rsidRDefault="00B36DD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E66AF6" w14:textId="77777777" w:rsidR="00B36DD7" w:rsidRDefault="00B36DD7">
      <w:pPr>
        <w:spacing w:after="0" w:line="276" w:lineRule="auto"/>
        <w:rPr>
          <w:rFonts w:ascii="Arial" w:eastAsia="Arial" w:hAnsi="Arial" w:cs="Arial"/>
        </w:rPr>
      </w:pPr>
    </w:p>
    <w:p w14:paraId="7EA204C1" w14:textId="77777777" w:rsidR="00B36DD7" w:rsidRDefault="00B36DD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9D5275" w14:textId="77777777" w:rsidR="00B36DD7" w:rsidRDefault="00B36DD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10D2C" w14:textId="77777777" w:rsidR="00B36DD7" w:rsidRDefault="00B36DD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A133371" w14:textId="77777777" w:rsidR="00B36DD7" w:rsidRDefault="00B36DD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36DD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7663" w14:textId="77777777" w:rsidR="00B56EEE" w:rsidRDefault="00B56EEE">
      <w:pPr>
        <w:spacing w:after="0" w:line="240" w:lineRule="auto"/>
      </w:pPr>
      <w:r>
        <w:separator/>
      </w:r>
    </w:p>
  </w:endnote>
  <w:endnote w:type="continuationSeparator" w:id="0">
    <w:p w14:paraId="57113620" w14:textId="77777777" w:rsidR="00B56EEE" w:rsidRDefault="00B5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4E61" w14:textId="77777777" w:rsidR="00B56EEE" w:rsidRDefault="00B56EEE">
      <w:pPr>
        <w:spacing w:after="0" w:line="240" w:lineRule="auto"/>
      </w:pPr>
      <w:r>
        <w:separator/>
      </w:r>
    </w:p>
  </w:footnote>
  <w:footnote w:type="continuationSeparator" w:id="0">
    <w:p w14:paraId="64132529" w14:textId="77777777" w:rsidR="00B56EEE" w:rsidRDefault="00B5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2C80" w14:textId="77777777" w:rsidR="00B36DD7" w:rsidRDefault="00B56E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E65D3">
      <w:rPr>
        <w:noProof/>
        <w:color w:val="000000"/>
      </w:rPr>
      <w:t>1</w:t>
    </w:r>
    <w:r>
      <w:rPr>
        <w:color w:val="000000"/>
      </w:rPr>
      <w:fldChar w:fldCharType="end"/>
    </w:r>
  </w:p>
  <w:p w14:paraId="05EF1414" w14:textId="77777777" w:rsidR="00B36DD7" w:rsidRDefault="00B36D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D97"/>
    <w:multiLevelType w:val="multilevel"/>
    <w:tmpl w:val="F6D859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9675B1"/>
    <w:multiLevelType w:val="multilevel"/>
    <w:tmpl w:val="8F7CF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2023D0"/>
    <w:multiLevelType w:val="multilevel"/>
    <w:tmpl w:val="24E02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DD57C9"/>
    <w:multiLevelType w:val="multilevel"/>
    <w:tmpl w:val="F09417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AC476E"/>
    <w:multiLevelType w:val="multilevel"/>
    <w:tmpl w:val="F9E8C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987909"/>
    <w:multiLevelType w:val="multilevel"/>
    <w:tmpl w:val="624C5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850900"/>
    <w:multiLevelType w:val="multilevel"/>
    <w:tmpl w:val="DE261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1D5D3C"/>
    <w:multiLevelType w:val="multilevel"/>
    <w:tmpl w:val="FF2CF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106F68"/>
    <w:multiLevelType w:val="multilevel"/>
    <w:tmpl w:val="81529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693199"/>
    <w:multiLevelType w:val="multilevel"/>
    <w:tmpl w:val="DD1CF8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3893FBC"/>
    <w:multiLevelType w:val="multilevel"/>
    <w:tmpl w:val="B6AED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12433347">
    <w:abstractNumId w:val="0"/>
  </w:num>
  <w:num w:numId="2" w16cid:durableId="1059355513">
    <w:abstractNumId w:val="9"/>
  </w:num>
  <w:num w:numId="3" w16cid:durableId="1368333825">
    <w:abstractNumId w:val="6"/>
  </w:num>
  <w:num w:numId="4" w16cid:durableId="1183209142">
    <w:abstractNumId w:val="7"/>
  </w:num>
  <w:num w:numId="5" w16cid:durableId="1007564048">
    <w:abstractNumId w:val="3"/>
  </w:num>
  <w:num w:numId="6" w16cid:durableId="450168605">
    <w:abstractNumId w:val="8"/>
  </w:num>
  <w:num w:numId="7" w16cid:durableId="2032030630">
    <w:abstractNumId w:val="1"/>
  </w:num>
  <w:num w:numId="8" w16cid:durableId="1145270311">
    <w:abstractNumId w:val="2"/>
  </w:num>
  <w:num w:numId="9" w16cid:durableId="1777404502">
    <w:abstractNumId w:val="10"/>
  </w:num>
  <w:num w:numId="10" w16cid:durableId="798256954">
    <w:abstractNumId w:val="5"/>
  </w:num>
  <w:num w:numId="11" w16cid:durableId="12285397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D7"/>
    <w:rsid w:val="006E65D3"/>
    <w:rsid w:val="00B36DD7"/>
    <w:rsid w:val="00B5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7BBA"/>
  <w15:docId w15:val="{87D921EF-7F5D-4E38-9171-8B5BC4C2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1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F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1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1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1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1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1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C1C"/>
  </w:style>
  <w:style w:type="paragraph" w:styleId="Footer">
    <w:name w:val="footer"/>
    <w:basedOn w:val="Normal"/>
    <w:link w:val="FooterChar"/>
    <w:uiPriority w:val="99"/>
    <w:unhideWhenUsed/>
    <w:rsid w:val="00CC0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C1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kK6XSQiQkGaz1AMR2R1o5Q7lQ==">AMUW2mX4Pcv/BT8tUA1n9VSMvUe3Tnh7Z8iEeeovaXQDlxg7DdFVicc/1ph0wJY9i0cKDXb5PgGgtPmMTE6iAFDFTS03UUq5Hh5RhP/yjqCM9eaj+r0k7sw=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2163</Words>
  <Characters>12333</Characters>
  <Application>Microsoft Office Word</Application>
  <DocSecurity>0</DocSecurity>
  <Lines>102</Lines>
  <Paragraphs>28</Paragraphs>
  <ScaleCrop>false</ScaleCrop>
  <Company>California State University Fresno</Company>
  <LinksUpToDate>false</LinksUpToDate>
  <CharactersWithSpaces>14468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Price</dc:creator>
  <cp:lastModifiedBy>Doug Fraleigh</cp:lastModifiedBy>
  <cp:revision>2</cp:revision>
  <dcterms:created xsi:type="dcterms:W3CDTF">2022-08-23T21:49:00Z</dcterms:created>
  <dcterms:modified xsi:type="dcterms:W3CDTF">2022-08-23T21:49:00Z</dcterms:modified>
</cp:coreProperties>
</file>