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E2" w:rsidRPr="00C1598B" w:rsidRDefault="00F56895">
      <w:pPr>
        <w:rPr>
          <w:rFonts w:ascii="Times New Roman" w:hAnsi="Times New Roman" w:cs="Times New Roman"/>
          <w:sz w:val="32"/>
          <w:szCs w:val="32"/>
        </w:rPr>
      </w:pPr>
      <w:r w:rsidRPr="00C1598B">
        <w:rPr>
          <w:rFonts w:ascii="Times New Roman" w:hAnsi="Times New Roman" w:cs="Times New Roman"/>
          <w:sz w:val="32"/>
          <w:szCs w:val="32"/>
        </w:rPr>
        <w:t>California State Univer</w:t>
      </w:r>
      <w:r w:rsidR="002568F2" w:rsidRPr="00C1598B">
        <w:rPr>
          <w:rFonts w:ascii="Times New Roman" w:hAnsi="Times New Roman" w:cs="Times New Roman"/>
          <w:sz w:val="32"/>
          <w:szCs w:val="32"/>
        </w:rPr>
        <w:t>sity, Fresno: Quanti</w:t>
      </w:r>
      <w:r w:rsidR="00BF3925" w:rsidRPr="00C1598B">
        <w:rPr>
          <w:rFonts w:ascii="Times New Roman" w:hAnsi="Times New Roman" w:cs="Times New Roman"/>
          <w:sz w:val="32"/>
          <w:szCs w:val="32"/>
        </w:rPr>
        <w:t>t</w:t>
      </w:r>
      <w:r w:rsidR="002568F2" w:rsidRPr="00C1598B">
        <w:rPr>
          <w:rFonts w:ascii="Times New Roman" w:hAnsi="Times New Roman" w:cs="Times New Roman"/>
          <w:sz w:val="32"/>
          <w:szCs w:val="32"/>
        </w:rPr>
        <w:t>ative</w:t>
      </w:r>
      <w:r w:rsidRPr="00C1598B">
        <w:rPr>
          <w:rFonts w:ascii="Times New Roman" w:hAnsi="Times New Roman" w:cs="Times New Roman"/>
          <w:sz w:val="32"/>
          <w:szCs w:val="32"/>
        </w:rPr>
        <w:t xml:space="preserve"> Assessment Report</w:t>
      </w:r>
    </w:p>
    <w:p w:rsidR="00F56895" w:rsidRDefault="00F56895">
      <w:pPr>
        <w:rPr>
          <w:rFonts w:ascii="Times New Roman" w:hAnsi="Times New Roman" w:cs="Times New Roman"/>
          <w:sz w:val="24"/>
          <w:szCs w:val="24"/>
        </w:rPr>
      </w:pPr>
    </w:p>
    <w:p w:rsidR="00D34C33" w:rsidRPr="00C1598B" w:rsidRDefault="00F56895">
      <w:pPr>
        <w:rPr>
          <w:rFonts w:ascii="Times New Roman" w:hAnsi="Times New Roman" w:cs="Times New Roman"/>
        </w:rPr>
      </w:pPr>
      <w:r w:rsidRPr="00C1598B">
        <w:rPr>
          <w:rFonts w:ascii="Times New Roman" w:hAnsi="Times New Roman" w:cs="Times New Roman"/>
        </w:rPr>
        <w:t>California State Uni</w:t>
      </w:r>
      <w:r w:rsidR="005314FA" w:rsidRPr="00C1598B">
        <w:rPr>
          <w:rFonts w:ascii="Times New Roman" w:hAnsi="Times New Roman" w:cs="Times New Roman"/>
        </w:rPr>
        <w:t xml:space="preserve">versity, Fresno has </w:t>
      </w:r>
      <w:r w:rsidR="00D34C33" w:rsidRPr="00C1598B">
        <w:rPr>
          <w:rFonts w:ascii="Times New Roman" w:hAnsi="Times New Roman" w:cs="Times New Roman"/>
        </w:rPr>
        <w:t>initiated campus wide assessme</w:t>
      </w:r>
      <w:r w:rsidR="00B24680" w:rsidRPr="00C1598B">
        <w:rPr>
          <w:rFonts w:ascii="Times New Roman" w:hAnsi="Times New Roman" w:cs="Times New Roman"/>
        </w:rPr>
        <w:t>nt of the core competencies. I</w:t>
      </w:r>
      <w:r w:rsidRPr="00C1598B">
        <w:rPr>
          <w:rFonts w:ascii="Times New Roman" w:hAnsi="Times New Roman" w:cs="Times New Roman"/>
        </w:rPr>
        <w:t>n 2015, the University estab</w:t>
      </w:r>
      <w:r w:rsidR="005314FA" w:rsidRPr="00C1598B">
        <w:rPr>
          <w:rFonts w:ascii="Times New Roman" w:hAnsi="Times New Roman" w:cs="Times New Roman"/>
        </w:rPr>
        <w:t xml:space="preserve">lished ad hoc </w:t>
      </w:r>
      <w:r w:rsidR="0004749C" w:rsidRPr="00C1598B">
        <w:rPr>
          <w:rFonts w:ascii="Times New Roman" w:hAnsi="Times New Roman" w:cs="Times New Roman"/>
        </w:rPr>
        <w:t xml:space="preserve">committees </w:t>
      </w:r>
      <w:r w:rsidRPr="00C1598B">
        <w:rPr>
          <w:rFonts w:ascii="Times New Roman" w:hAnsi="Times New Roman" w:cs="Times New Roman"/>
        </w:rPr>
        <w:t xml:space="preserve">for each of the </w:t>
      </w:r>
      <w:r w:rsidR="00D34C33" w:rsidRPr="00C1598B">
        <w:rPr>
          <w:rFonts w:ascii="Times New Roman" w:hAnsi="Times New Roman" w:cs="Times New Roman"/>
        </w:rPr>
        <w:t xml:space="preserve">WSCUC </w:t>
      </w:r>
      <w:r w:rsidRPr="00C1598B">
        <w:rPr>
          <w:rFonts w:ascii="Times New Roman" w:hAnsi="Times New Roman" w:cs="Times New Roman"/>
        </w:rPr>
        <w:t xml:space="preserve">five core competencies. </w:t>
      </w:r>
      <w:r w:rsidR="0004749C" w:rsidRPr="00C1598B">
        <w:rPr>
          <w:rFonts w:ascii="Times New Roman" w:hAnsi="Times New Roman" w:cs="Times New Roman"/>
        </w:rPr>
        <w:t>The Director of Assessment, Dr. Melissa</w:t>
      </w:r>
      <w:r w:rsidR="00D34C33" w:rsidRPr="00C1598B">
        <w:rPr>
          <w:rFonts w:ascii="Times New Roman" w:hAnsi="Times New Roman" w:cs="Times New Roman"/>
        </w:rPr>
        <w:t xml:space="preserve"> Jordine established a timeline</w:t>
      </w:r>
      <w:r w:rsidR="0004749C" w:rsidRPr="00C1598B">
        <w:rPr>
          <w:rFonts w:ascii="Times New Roman" w:hAnsi="Times New Roman" w:cs="Times New Roman"/>
        </w:rPr>
        <w:t xml:space="preserve"> and coordinates with the chair of the appropriate committee to carry</w:t>
      </w:r>
      <w:r w:rsidR="00E82E05" w:rsidRPr="00C1598B">
        <w:rPr>
          <w:rFonts w:ascii="Times New Roman" w:hAnsi="Times New Roman" w:cs="Times New Roman"/>
        </w:rPr>
        <w:t xml:space="preserve"> out </w:t>
      </w:r>
      <w:r w:rsidR="0004749C" w:rsidRPr="00C1598B">
        <w:rPr>
          <w:rFonts w:ascii="Times New Roman" w:hAnsi="Times New Roman" w:cs="Times New Roman"/>
        </w:rPr>
        <w:t>an</w:t>
      </w:r>
      <w:r w:rsidR="00E82E05" w:rsidRPr="00C1598B">
        <w:rPr>
          <w:rFonts w:ascii="Times New Roman" w:hAnsi="Times New Roman" w:cs="Times New Roman"/>
        </w:rPr>
        <w:t xml:space="preserve"> assessment of one core compet</w:t>
      </w:r>
      <w:r w:rsidR="002568F2" w:rsidRPr="00C1598B">
        <w:rPr>
          <w:rFonts w:ascii="Times New Roman" w:hAnsi="Times New Roman" w:cs="Times New Roman"/>
        </w:rPr>
        <w:t>ency every year. During the 2017</w:t>
      </w:r>
      <w:r w:rsidR="00E82E05" w:rsidRPr="00C1598B">
        <w:rPr>
          <w:rFonts w:ascii="Times New Roman" w:hAnsi="Times New Roman" w:cs="Times New Roman"/>
        </w:rPr>
        <w:t>-2</w:t>
      </w:r>
      <w:r w:rsidR="002568F2" w:rsidRPr="00C1598B">
        <w:rPr>
          <w:rFonts w:ascii="Times New Roman" w:hAnsi="Times New Roman" w:cs="Times New Roman"/>
        </w:rPr>
        <w:t>018</w:t>
      </w:r>
      <w:r w:rsidR="00E82E05" w:rsidRPr="00C1598B">
        <w:rPr>
          <w:rFonts w:ascii="Times New Roman" w:hAnsi="Times New Roman" w:cs="Times New Roman"/>
        </w:rPr>
        <w:t xml:space="preserve"> academic year, </w:t>
      </w:r>
      <w:r w:rsidR="002568F2" w:rsidRPr="00C1598B">
        <w:rPr>
          <w:rFonts w:ascii="Times New Roman" w:hAnsi="Times New Roman" w:cs="Times New Roman"/>
        </w:rPr>
        <w:t xml:space="preserve">the Quantitative Reasoning Core </w:t>
      </w:r>
      <w:r w:rsidR="00E86183" w:rsidRPr="00C1598B">
        <w:rPr>
          <w:rFonts w:ascii="Times New Roman" w:hAnsi="Times New Roman" w:cs="Times New Roman"/>
        </w:rPr>
        <w:t>Competency was assessed</w:t>
      </w:r>
      <w:r w:rsidR="002568F2" w:rsidRPr="00C1598B">
        <w:rPr>
          <w:rFonts w:ascii="Times New Roman" w:hAnsi="Times New Roman" w:cs="Times New Roman"/>
        </w:rPr>
        <w:t>. The assessment was led by the Director of Assessment, Dr. Melissa Jordine and by Dr. Paul Price and Dr. Chiang Ch</w:t>
      </w:r>
      <w:r w:rsidR="001A7F74" w:rsidRPr="00C1598B">
        <w:rPr>
          <w:rFonts w:ascii="Times New Roman" w:hAnsi="Times New Roman" w:cs="Times New Roman"/>
        </w:rPr>
        <w:t>i</w:t>
      </w:r>
      <w:r w:rsidR="002568F2" w:rsidRPr="00C1598B">
        <w:rPr>
          <w:rFonts w:ascii="Times New Roman" w:hAnsi="Times New Roman" w:cs="Times New Roman"/>
        </w:rPr>
        <w:t>aw Choo the College Assessment Coordinators for Science and Math and Engineering respectively</w:t>
      </w:r>
      <w:r w:rsidR="00E86183" w:rsidRPr="00C1598B">
        <w:rPr>
          <w:rFonts w:ascii="Times New Roman" w:hAnsi="Times New Roman" w:cs="Times New Roman"/>
        </w:rPr>
        <w:t>. D</w:t>
      </w:r>
      <w:r w:rsidR="001A7F74" w:rsidRPr="00C1598B">
        <w:rPr>
          <w:rFonts w:ascii="Times New Roman" w:hAnsi="Times New Roman" w:cs="Times New Roman"/>
        </w:rPr>
        <w:t>uring the Spring 2017</w:t>
      </w:r>
      <w:r w:rsidR="002568F2" w:rsidRPr="00C1598B">
        <w:rPr>
          <w:rFonts w:ascii="Times New Roman" w:hAnsi="Times New Roman" w:cs="Times New Roman"/>
        </w:rPr>
        <w:t xml:space="preserve"> semester, these representative reviewed and finalized a draft of a 25 question quantitative reasoning exam that was also reviewed by two members of the Math Depar</w:t>
      </w:r>
      <w:r w:rsidR="007F71B6" w:rsidRPr="00C1598B">
        <w:rPr>
          <w:rFonts w:ascii="Times New Roman" w:hAnsi="Times New Roman" w:cs="Times New Roman"/>
        </w:rPr>
        <w:t>tment faculty and by several</w:t>
      </w:r>
      <w:r w:rsidR="002568F2" w:rsidRPr="00C1598B">
        <w:rPr>
          <w:rFonts w:ascii="Times New Roman" w:hAnsi="Times New Roman" w:cs="Times New Roman"/>
        </w:rPr>
        <w:t xml:space="preserve"> dozen students. The final version of the quantitative reasoning exam was approved in Fall </w:t>
      </w:r>
      <w:r w:rsidR="001A7F74" w:rsidRPr="00C1598B">
        <w:rPr>
          <w:rFonts w:ascii="Times New Roman" w:hAnsi="Times New Roman" w:cs="Times New Roman"/>
        </w:rPr>
        <w:t>2017</w:t>
      </w:r>
      <w:r w:rsidR="00811F7A" w:rsidRPr="00C1598B">
        <w:rPr>
          <w:rFonts w:ascii="Times New Roman" w:hAnsi="Times New Roman" w:cs="Times New Roman"/>
        </w:rPr>
        <w:t xml:space="preserve"> and given to students in four of the eight </w:t>
      </w:r>
      <w:r w:rsidR="00D34C33" w:rsidRPr="00C1598B">
        <w:rPr>
          <w:rFonts w:ascii="Times New Roman" w:hAnsi="Times New Roman" w:cs="Times New Roman"/>
        </w:rPr>
        <w:t xml:space="preserve">Fresno State </w:t>
      </w:r>
      <w:r w:rsidR="00DC1540" w:rsidRPr="00C1598B">
        <w:rPr>
          <w:rFonts w:ascii="Times New Roman" w:hAnsi="Times New Roman" w:cs="Times New Roman"/>
        </w:rPr>
        <w:t>schools/</w:t>
      </w:r>
      <w:r w:rsidR="00D34C33" w:rsidRPr="00C1598B">
        <w:rPr>
          <w:rFonts w:ascii="Times New Roman" w:hAnsi="Times New Roman" w:cs="Times New Roman"/>
        </w:rPr>
        <w:t>colle</w:t>
      </w:r>
      <w:r w:rsidR="001A7F74" w:rsidRPr="00C1598B">
        <w:rPr>
          <w:rFonts w:ascii="Times New Roman" w:hAnsi="Times New Roman" w:cs="Times New Roman"/>
        </w:rPr>
        <w:t>ges during the 2017-2018</w:t>
      </w:r>
      <w:r w:rsidR="002568F2" w:rsidRPr="00C1598B">
        <w:rPr>
          <w:rFonts w:ascii="Times New Roman" w:hAnsi="Times New Roman" w:cs="Times New Roman"/>
        </w:rPr>
        <w:t xml:space="preserve"> AY</w:t>
      </w:r>
      <w:r w:rsidR="00D34C33" w:rsidRPr="00C1598B">
        <w:rPr>
          <w:rFonts w:ascii="Times New Roman" w:hAnsi="Times New Roman" w:cs="Times New Roman"/>
        </w:rPr>
        <w:t>.</w:t>
      </w:r>
      <w:r w:rsidR="00D34C33" w:rsidRPr="00C1598B">
        <w:rPr>
          <w:rStyle w:val="FootnoteReference"/>
          <w:rFonts w:ascii="Times New Roman" w:hAnsi="Times New Roman" w:cs="Times New Roman"/>
        </w:rPr>
        <w:footnoteReference w:id="1"/>
      </w:r>
      <w:r w:rsidR="00D34C33" w:rsidRPr="00C1598B">
        <w:rPr>
          <w:rFonts w:ascii="Times New Roman" w:hAnsi="Times New Roman" w:cs="Times New Roman"/>
        </w:rPr>
        <w:t xml:space="preserve"> </w:t>
      </w:r>
    </w:p>
    <w:p w:rsidR="00E67230" w:rsidRDefault="00D41F52">
      <w:pPr>
        <w:rPr>
          <w:rFonts w:ascii="Times New Roman" w:hAnsi="Times New Roman" w:cs="Times New Roman"/>
        </w:rPr>
      </w:pPr>
      <w:r w:rsidRPr="00C1598B">
        <w:rPr>
          <w:rFonts w:ascii="Times New Roman" w:hAnsi="Times New Roman" w:cs="Times New Roman"/>
        </w:rPr>
        <w:t>Of the 25 questions, t</w:t>
      </w:r>
      <w:r w:rsidR="0008059C" w:rsidRPr="00C1598B">
        <w:rPr>
          <w:rFonts w:ascii="Times New Roman" w:hAnsi="Times New Roman" w:cs="Times New Roman"/>
        </w:rPr>
        <w:t xml:space="preserve">hree </w:t>
      </w:r>
      <w:r w:rsidRPr="00C1598B">
        <w:rPr>
          <w:rFonts w:ascii="Times New Roman" w:hAnsi="Times New Roman" w:cs="Times New Roman"/>
        </w:rPr>
        <w:t>were omitted prior to calculating results</w:t>
      </w:r>
      <w:r w:rsidR="0008059C" w:rsidRPr="00C1598B">
        <w:rPr>
          <w:rFonts w:ascii="Times New Roman" w:hAnsi="Times New Roman" w:cs="Times New Roman"/>
        </w:rPr>
        <w:t xml:space="preserve"> because they were control questions</w:t>
      </w:r>
      <w:r w:rsidRPr="00C1598B">
        <w:rPr>
          <w:rFonts w:ascii="Times New Roman" w:hAnsi="Times New Roman" w:cs="Times New Roman"/>
        </w:rPr>
        <w:t>. One of the questions was a basic algebraic equation that all students were expected to get correct (X + 34=67)</w:t>
      </w:r>
      <w:r w:rsidR="00BF3925" w:rsidRPr="00C1598B">
        <w:rPr>
          <w:rFonts w:ascii="Times New Roman" w:hAnsi="Times New Roman" w:cs="Times New Roman"/>
        </w:rPr>
        <w:t>. A</w:t>
      </w:r>
      <w:r w:rsidR="006724E6" w:rsidRPr="00C1598B">
        <w:rPr>
          <w:rFonts w:ascii="Times New Roman" w:hAnsi="Times New Roman" w:cs="Times New Roman"/>
        </w:rPr>
        <w:t xml:space="preserve">pproximately 90% of students </w:t>
      </w:r>
      <w:r w:rsidR="001C62AE" w:rsidRPr="00C1598B">
        <w:rPr>
          <w:rFonts w:ascii="Times New Roman" w:hAnsi="Times New Roman" w:cs="Times New Roman"/>
        </w:rPr>
        <w:t>answer</w:t>
      </w:r>
      <w:r w:rsidR="006724E6" w:rsidRPr="00C1598B">
        <w:rPr>
          <w:rFonts w:ascii="Times New Roman" w:hAnsi="Times New Roman" w:cs="Times New Roman"/>
        </w:rPr>
        <w:t>ed</w:t>
      </w:r>
      <w:r w:rsidR="001C62AE" w:rsidRPr="00C1598B">
        <w:rPr>
          <w:rFonts w:ascii="Times New Roman" w:hAnsi="Times New Roman" w:cs="Times New Roman"/>
        </w:rPr>
        <w:t xml:space="preserve"> </w:t>
      </w:r>
      <w:r w:rsidR="0008059C" w:rsidRPr="00C1598B">
        <w:rPr>
          <w:rFonts w:ascii="Times New Roman" w:hAnsi="Times New Roman" w:cs="Times New Roman"/>
        </w:rPr>
        <w:t xml:space="preserve">the question correctly </w:t>
      </w:r>
      <w:r w:rsidR="001C62AE" w:rsidRPr="00C1598B">
        <w:rPr>
          <w:rFonts w:ascii="Times New Roman" w:hAnsi="Times New Roman" w:cs="Times New Roman"/>
        </w:rPr>
        <w:t>while a few students did not respond to this question and five g</w:t>
      </w:r>
      <w:r w:rsidR="00B24680" w:rsidRPr="00C1598B">
        <w:rPr>
          <w:rFonts w:ascii="Times New Roman" w:hAnsi="Times New Roman" w:cs="Times New Roman"/>
        </w:rPr>
        <w:t xml:space="preserve">ave </w:t>
      </w:r>
      <w:r w:rsidR="0008059C" w:rsidRPr="00C1598B">
        <w:rPr>
          <w:rFonts w:ascii="Times New Roman" w:hAnsi="Times New Roman" w:cs="Times New Roman"/>
        </w:rPr>
        <w:t xml:space="preserve">an </w:t>
      </w:r>
      <w:r w:rsidR="00B24680" w:rsidRPr="00C1598B">
        <w:rPr>
          <w:rFonts w:ascii="Times New Roman" w:hAnsi="Times New Roman" w:cs="Times New Roman"/>
        </w:rPr>
        <w:t>i</w:t>
      </w:r>
      <w:r w:rsidR="0008059C" w:rsidRPr="00C1598B">
        <w:rPr>
          <w:rFonts w:ascii="Times New Roman" w:hAnsi="Times New Roman" w:cs="Times New Roman"/>
        </w:rPr>
        <w:t>ncorrect answer</w:t>
      </w:r>
      <w:r w:rsidR="00B24680" w:rsidRPr="00C1598B">
        <w:rPr>
          <w:rFonts w:ascii="Times New Roman" w:hAnsi="Times New Roman" w:cs="Times New Roman"/>
        </w:rPr>
        <w:t xml:space="preserve">. Two </w:t>
      </w:r>
      <w:r w:rsidR="00BF3925" w:rsidRPr="00C1598B">
        <w:rPr>
          <w:rFonts w:ascii="Times New Roman" w:hAnsi="Times New Roman" w:cs="Times New Roman"/>
        </w:rPr>
        <w:t xml:space="preserve">of the </w:t>
      </w:r>
      <w:r w:rsidR="001C62AE" w:rsidRPr="00C1598B">
        <w:rPr>
          <w:rFonts w:ascii="Times New Roman" w:hAnsi="Times New Roman" w:cs="Times New Roman"/>
        </w:rPr>
        <w:t>qu</w:t>
      </w:r>
      <w:r w:rsidR="004C79FD" w:rsidRPr="00C1598B">
        <w:rPr>
          <w:rFonts w:ascii="Times New Roman" w:hAnsi="Times New Roman" w:cs="Times New Roman"/>
        </w:rPr>
        <w:t>estion</w:t>
      </w:r>
      <w:r w:rsidR="00BF3925" w:rsidRPr="00C1598B">
        <w:rPr>
          <w:rFonts w:ascii="Times New Roman" w:hAnsi="Times New Roman" w:cs="Times New Roman"/>
        </w:rPr>
        <w:t xml:space="preserve">s were extremely </w:t>
      </w:r>
      <w:r w:rsidR="004C79FD" w:rsidRPr="00C1598B">
        <w:rPr>
          <w:rFonts w:ascii="Times New Roman" w:hAnsi="Times New Roman" w:cs="Times New Roman"/>
        </w:rPr>
        <w:t>advanced</w:t>
      </w:r>
      <w:r w:rsidR="00BF3925" w:rsidRPr="00C1598B">
        <w:rPr>
          <w:rFonts w:ascii="Times New Roman" w:hAnsi="Times New Roman" w:cs="Times New Roman"/>
        </w:rPr>
        <w:t xml:space="preserve">, one involving calculus, and </w:t>
      </w:r>
      <w:r w:rsidR="00B24680" w:rsidRPr="00C1598B">
        <w:rPr>
          <w:rFonts w:ascii="Times New Roman" w:hAnsi="Times New Roman" w:cs="Times New Roman"/>
        </w:rPr>
        <w:t>thus</w:t>
      </w:r>
      <w:r w:rsidR="00BF3925" w:rsidRPr="00C1598B">
        <w:rPr>
          <w:rFonts w:ascii="Times New Roman" w:hAnsi="Times New Roman" w:cs="Times New Roman"/>
        </w:rPr>
        <w:t xml:space="preserve"> these three questions were not appropriate for determining basic proficiency in quantitative reasoning. O</w:t>
      </w:r>
      <w:r w:rsidR="00B24680" w:rsidRPr="00C1598B">
        <w:rPr>
          <w:rFonts w:ascii="Times New Roman" w:hAnsi="Times New Roman" w:cs="Times New Roman"/>
        </w:rPr>
        <w:t xml:space="preserve">f the 23 validated questions that were designed to evaluate basic proficiency in quantitative reasoning, all students </w:t>
      </w:r>
      <w:r w:rsidR="00A75FA4" w:rsidRPr="00C1598B">
        <w:rPr>
          <w:rFonts w:ascii="Times New Roman" w:hAnsi="Times New Roman" w:cs="Times New Roman"/>
        </w:rPr>
        <w:t xml:space="preserve">who took </w:t>
      </w:r>
      <w:r w:rsidR="00BF3925" w:rsidRPr="00C1598B">
        <w:rPr>
          <w:rFonts w:ascii="Times New Roman" w:hAnsi="Times New Roman" w:cs="Times New Roman"/>
        </w:rPr>
        <w:t xml:space="preserve">the exam </w:t>
      </w:r>
      <w:r w:rsidR="00B24680" w:rsidRPr="00C1598B">
        <w:rPr>
          <w:rFonts w:ascii="Times New Roman" w:hAnsi="Times New Roman" w:cs="Times New Roman"/>
        </w:rPr>
        <w:t xml:space="preserve">were expected to achieve a score of 70% or 16 out of 23 correct. </w:t>
      </w:r>
      <w:r w:rsidR="00811F7A" w:rsidRPr="00C1598B">
        <w:rPr>
          <w:rFonts w:ascii="Times New Roman" w:hAnsi="Times New Roman" w:cs="Times New Roman"/>
        </w:rPr>
        <w:t>All students completed</w:t>
      </w:r>
      <w:r w:rsidR="00BF3925" w:rsidRPr="00C1598B">
        <w:rPr>
          <w:rFonts w:ascii="Times New Roman" w:hAnsi="Times New Roman" w:cs="Times New Roman"/>
        </w:rPr>
        <w:t xml:space="preserve"> the quantitative rea</w:t>
      </w:r>
      <w:r w:rsidR="00790E79" w:rsidRPr="00C1598B">
        <w:rPr>
          <w:rFonts w:ascii="Times New Roman" w:hAnsi="Times New Roman" w:cs="Times New Roman"/>
        </w:rPr>
        <w:t xml:space="preserve">soning exam </w:t>
      </w:r>
      <w:r w:rsidR="00811F7A" w:rsidRPr="00C1598B">
        <w:rPr>
          <w:rFonts w:ascii="Times New Roman" w:hAnsi="Times New Roman" w:cs="Times New Roman"/>
        </w:rPr>
        <w:t xml:space="preserve">either </w:t>
      </w:r>
      <w:r w:rsidR="00BF3925" w:rsidRPr="00C1598B">
        <w:rPr>
          <w:rFonts w:ascii="Times New Roman" w:hAnsi="Times New Roman" w:cs="Times New Roman"/>
        </w:rPr>
        <w:t>during a class meeting or at the Bulldog Testing Center. The testing center verif</w:t>
      </w:r>
      <w:r w:rsidR="007B23EA">
        <w:rPr>
          <w:rFonts w:ascii="Times New Roman" w:hAnsi="Times New Roman" w:cs="Times New Roman"/>
        </w:rPr>
        <w:t>ied student identifies, gave each student</w:t>
      </w:r>
      <w:r w:rsidR="00BF3925" w:rsidRPr="00C1598B">
        <w:rPr>
          <w:rFonts w:ascii="Times New Roman" w:hAnsi="Times New Roman" w:cs="Times New Roman"/>
        </w:rPr>
        <w:t xml:space="preserve"> </w:t>
      </w:r>
      <w:r w:rsidR="007B23EA">
        <w:rPr>
          <w:rFonts w:ascii="Times New Roman" w:hAnsi="Times New Roman" w:cs="Times New Roman"/>
        </w:rPr>
        <w:t xml:space="preserve">a </w:t>
      </w:r>
      <w:r w:rsidR="00BF3925" w:rsidRPr="00C1598B">
        <w:rPr>
          <w:rFonts w:ascii="Times New Roman" w:hAnsi="Times New Roman" w:cs="Times New Roman"/>
        </w:rPr>
        <w:t>one hour time limit, and enforced the rule that prohibited the use of calculators.</w:t>
      </w:r>
      <w:r w:rsidR="00811F7A" w:rsidRPr="00C1598B">
        <w:rPr>
          <w:rFonts w:ascii="Times New Roman" w:hAnsi="Times New Roman" w:cs="Times New Roman"/>
        </w:rPr>
        <w:t xml:space="preserve"> Approximately 175 students in 4</w:t>
      </w:r>
      <w:r w:rsidR="00790E79" w:rsidRPr="00C1598B">
        <w:rPr>
          <w:rFonts w:ascii="Times New Roman" w:hAnsi="Times New Roman" w:cs="Times New Roman"/>
        </w:rPr>
        <w:t xml:space="preserve"> courses took</w:t>
      </w:r>
      <w:r w:rsidR="00811F7A" w:rsidRPr="00C1598B">
        <w:rPr>
          <w:rFonts w:ascii="Times New Roman" w:hAnsi="Times New Roman" w:cs="Times New Roman"/>
        </w:rPr>
        <w:t xml:space="preserve"> the exam during class meetings </w:t>
      </w:r>
      <w:r w:rsidR="00790E79" w:rsidRPr="00C1598B">
        <w:rPr>
          <w:rFonts w:ascii="Times New Roman" w:hAnsi="Times New Roman" w:cs="Times New Roman"/>
        </w:rPr>
        <w:t>and approximately</w:t>
      </w:r>
      <w:r w:rsidR="00811F7A" w:rsidRPr="00C1598B">
        <w:rPr>
          <w:rFonts w:ascii="Times New Roman" w:hAnsi="Times New Roman" w:cs="Times New Roman"/>
        </w:rPr>
        <w:t xml:space="preserve"> 65 students in 3</w:t>
      </w:r>
      <w:r w:rsidR="00790E79" w:rsidRPr="00C1598B">
        <w:rPr>
          <w:rFonts w:ascii="Times New Roman" w:hAnsi="Times New Roman" w:cs="Times New Roman"/>
        </w:rPr>
        <w:t xml:space="preserve"> courses took the exam </w:t>
      </w:r>
      <w:r w:rsidR="00811F7A" w:rsidRPr="00C1598B">
        <w:rPr>
          <w:rFonts w:ascii="Times New Roman" w:hAnsi="Times New Roman" w:cs="Times New Roman"/>
        </w:rPr>
        <w:t>at the Bulldog Testing Center</w:t>
      </w:r>
      <w:r w:rsidR="00790E79" w:rsidRPr="00C1598B">
        <w:rPr>
          <w:rFonts w:ascii="Times New Roman" w:hAnsi="Times New Roman" w:cs="Times New Roman"/>
        </w:rPr>
        <w:t xml:space="preserve">. </w:t>
      </w:r>
    </w:p>
    <w:p w:rsidR="00C1598B" w:rsidRPr="00C1598B" w:rsidRDefault="00C1598B">
      <w:pPr>
        <w:rPr>
          <w:rFonts w:ascii="Times New Roman" w:hAnsi="Times New Roman" w:cs="Times New Roman"/>
        </w:rPr>
      </w:pPr>
    </w:p>
    <w:p w:rsidR="00C1598B" w:rsidRDefault="00C159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9B6290D" wp14:editId="0C51BDDA">
            <wp:extent cx="4010025" cy="162877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3E9B" w:rsidRDefault="00A75FA4">
      <w:pPr>
        <w:rPr>
          <w:rFonts w:ascii="Times New Roman" w:hAnsi="Times New Roman" w:cs="Times New Roman"/>
          <w:sz w:val="24"/>
          <w:szCs w:val="24"/>
        </w:rPr>
      </w:pPr>
      <w:r>
        <w:rPr>
          <w:rFonts w:ascii="Times New Roman" w:hAnsi="Times New Roman" w:cs="Times New Roman"/>
          <w:sz w:val="24"/>
          <w:szCs w:val="24"/>
        </w:rPr>
        <w:lastRenderedPageBreak/>
        <w:t xml:space="preserve">Of the 240 total students who took the exam, and were at a point near graduation, 122 (51%) demonstrated proficiency and 118 (49%) did not demonstrate proficiency. </w:t>
      </w:r>
      <w:r w:rsidR="002A1983">
        <w:rPr>
          <w:rFonts w:ascii="Times New Roman" w:hAnsi="Times New Roman" w:cs="Times New Roman"/>
          <w:sz w:val="24"/>
          <w:szCs w:val="24"/>
        </w:rPr>
        <w:t>The</w:t>
      </w:r>
      <w:r w:rsidR="00EA50E9">
        <w:rPr>
          <w:rFonts w:ascii="Times New Roman" w:hAnsi="Times New Roman" w:cs="Times New Roman"/>
          <w:sz w:val="24"/>
          <w:szCs w:val="24"/>
        </w:rPr>
        <w:t xml:space="preserve"> results demonstrate that only h</w:t>
      </w:r>
      <w:r w:rsidR="00D82EE4">
        <w:rPr>
          <w:rFonts w:ascii="Times New Roman" w:hAnsi="Times New Roman" w:cs="Times New Roman"/>
          <w:sz w:val="24"/>
          <w:szCs w:val="24"/>
        </w:rPr>
        <w:t>alf of Fresno State students were</w:t>
      </w:r>
      <w:r w:rsidR="00EA50E9">
        <w:rPr>
          <w:rFonts w:ascii="Times New Roman" w:hAnsi="Times New Roman" w:cs="Times New Roman"/>
          <w:sz w:val="24"/>
          <w:szCs w:val="24"/>
        </w:rPr>
        <w:t xml:space="preserve"> proficient in quantitative reaso</w:t>
      </w:r>
      <w:r w:rsidR="002A1983">
        <w:rPr>
          <w:rFonts w:ascii="Times New Roman" w:hAnsi="Times New Roman" w:cs="Times New Roman"/>
          <w:sz w:val="24"/>
          <w:szCs w:val="24"/>
        </w:rPr>
        <w:t xml:space="preserve">ning when they graduate. </w:t>
      </w:r>
      <w:r w:rsidR="001C597E">
        <w:rPr>
          <w:rFonts w:ascii="Times New Roman" w:hAnsi="Times New Roman" w:cs="Times New Roman"/>
          <w:sz w:val="24"/>
          <w:szCs w:val="24"/>
        </w:rPr>
        <w:t>The results were disaggregated and analyzed to determine if there were any differences between specific groups. The chart below indicates that there are gaps in achievement between distinct groups including men and women. While 60% of men were deemed proficient, only 39% of women were proficient. Other differences in achievement parallel those that have previously been identified and discussed extensively in assessment literature. For example, only 38% of 1</w:t>
      </w:r>
      <w:r w:rsidR="001C597E" w:rsidRPr="001C597E">
        <w:rPr>
          <w:rFonts w:ascii="Times New Roman" w:hAnsi="Times New Roman" w:cs="Times New Roman"/>
          <w:sz w:val="24"/>
          <w:szCs w:val="24"/>
          <w:vertAlign w:val="superscript"/>
        </w:rPr>
        <w:t>st</w:t>
      </w:r>
      <w:r w:rsidR="001C597E">
        <w:rPr>
          <w:rFonts w:ascii="Times New Roman" w:hAnsi="Times New Roman" w:cs="Times New Roman"/>
          <w:sz w:val="24"/>
          <w:szCs w:val="24"/>
        </w:rPr>
        <w:t xml:space="preserve"> generation college students were proficient but 68% of continuing generation students were proficient. Furthermore, only 43% of URM were proficient but 61% of white students were proficient. </w:t>
      </w:r>
      <w:r w:rsidR="00D82EE4">
        <w:rPr>
          <w:rFonts w:ascii="Times New Roman" w:hAnsi="Times New Roman" w:cs="Times New Roman"/>
          <w:sz w:val="24"/>
          <w:szCs w:val="24"/>
        </w:rPr>
        <w:t xml:space="preserve">As expected, certain majors including science, math, and engineering had higher pass rates than Kinesiology, History, and Psychology majors. Since </w:t>
      </w:r>
      <w:r w:rsidR="002D29FF">
        <w:rPr>
          <w:rFonts w:ascii="Times New Roman" w:hAnsi="Times New Roman" w:cs="Times New Roman"/>
          <w:sz w:val="24"/>
          <w:szCs w:val="24"/>
        </w:rPr>
        <w:t xml:space="preserve">a </w:t>
      </w:r>
      <w:r w:rsidR="00D82EE4">
        <w:rPr>
          <w:rFonts w:ascii="Times New Roman" w:hAnsi="Times New Roman" w:cs="Times New Roman"/>
          <w:sz w:val="24"/>
          <w:szCs w:val="24"/>
        </w:rPr>
        <w:t xml:space="preserve">calculus </w:t>
      </w:r>
      <w:r w:rsidR="002D29FF">
        <w:rPr>
          <w:rFonts w:ascii="Times New Roman" w:hAnsi="Times New Roman" w:cs="Times New Roman"/>
          <w:sz w:val="24"/>
          <w:szCs w:val="24"/>
        </w:rPr>
        <w:t xml:space="preserve">course </w:t>
      </w:r>
      <w:r w:rsidR="00D82EE4">
        <w:rPr>
          <w:rFonts w:ascii="Times New Roman" w:hAnsi="Times New Roman" w:cs="Times New Roman"/>
          <w:sz w:val="24"/>
          <w:szCs w:val="24"/>
        </w:rPr>
        <w:t>is required in all the majors th</w:t>
      </w:r>
      <w:r w:rsidR="002D29FF">
        <w:rPr>
          <w:rFonts w:ascii="Times New Roman" w:hAnsi="Times New Roman" w:cs="Times New Roman"/>
          <w:sz w:val="24"/>
          <w:szCs w:val="24"/>
        </w:rPr>
        <w:t xml:space="preserve">at had the higher pass rates and major courses also include an emphasis </w:t>
      </w:r>
      <w:r w:rsidR="00C100EB">
        <w:rPr>
          <w:rFonts w:ascii="Times New Roman" w:hAnsi="Times New Roman" w:cs="Times New Roman"/>
          <w:sz w:val="24"/>
          <w:szCs w:val="24"/>
        </w:rPr>
        <w:t xml:space="preserve">on calculations it is </w:t>
      </w:r>
      <w:r w:rsidR="001D2248">
        <w:rPr>
          <w:rFonts w:ascii="Times New Roman" w:hAnsi="Times New Roman" w:cs="Times New Roman"/>
          <w:sz w:val="24"/>
          <w:szCs w:val="24"/>
        </w:rPr>
        <w:t>clear why 80</w:t>
      </w:r>
      <w:r w:rsidR="002D29FF">
        <w:rPr>
          <w:rFonts w:ascii="Times New Roman" w:hAnsi="Times New Roman" w:cs="Times New Roman"/>
          <w:sz w:val="24"/>
          <w:szCs w:val="24"/>
        </w:rPr>
        <w:t>% of these students were proficient.</w:t>
      </w:r>
      <w:r w:rsidR="00D82EE4">
        <w:rPr>
          <w:rFonts w:ascii="Times New Roman" w:hAnsi="Times New Roman" w:cs="Times New Roman"/>
          <w:sz w:val="24"/>
          <w:szCs w:val="24"/>
        </w:rPr>
        <w:t xml:space="preserve"> </w:t>
      </w:r>
    </w:p>
    <w:p w:rsidR="008C3E9B" w:rsidRDefault="008C3E9B">
      <w:pPr>
        <w:rPr>
          <w:rFonts w:ascii="Times New Roman" w:hAnsi="Times New Roman" w:cs="Times New Roman"/>
          <w:sz w:val="24"/>
          <w:szCs w:val="24"/>
        </w:rPr>
      </w:pPr>
    </w:p>
    <w:p w:rsidR="002A1983" w:rsidRPr="008C3E9B" w:rsidRDefault="002A198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CE0EE7" wp14:editId="301E8B49">
            <wp:extent cx="5943600" cy="3487861"/>
            <wp:effectExtent l="0" t="0" r="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0EB" w:rsidRDefault="002A1983" w:rsidP="002A1983">
      <w:pPr>
        <w:rPr>
          <w:rFonts w:ascii="Times New Roman" w:hAnsi="Times New Roman" w:cs="Times New Roman"/>
          <w:sz w:val="24"/>
          <w:szCs w:val="24"/>
        </w:rPr>
      </w:pPr>
      <w:r>
        <w:rPr>
          <w:rFonts w:ascii="Times New Roman" w:hAnsi="Times New Roman" w:cs="Times New Roman"/>
          <w:sz w:val="24"/>
          <w:szCs w:val="24"/>
        </w:rPr>
        <w:t>Given that only 51% of students were deemed proficient, the Director of Assessment and several faculty members reviewed the quantitative reasoning exam. After a careful review of the exam questions and the results, the Director of Assessment concluded that the exam</w:t>
      </w:r>
      <w:r w:rsidR="00C100EB">
        <w:rPr>
          <w:rFonts w:ascii="Times New Roman" w:hAnsi="Times New Roman" w:cs="Times New Roman"/>
          <w:sz w:val="24"/>
          <w:szCs w:val="24"/>
        </w:rPr>
        <w:t xml:space="preserve"> questions were </w:t>
      </w:r>
      <w:r>
        <w:rPr>
          <w:rFonts w:ascii="Times New Roman" w:hAnsi="Times New Roman" w:cs="Times New Roman"/>
          <w:sz w:val="24"/>
          <w:szCs w:val="24"/>
        </w:rPr>
        <w:t xml:space="preserve">not too advanced to determine basic proficiency. In reviewing the exam and results, it was noted that more than 25% of students made a calculation error on two or more questions suggesting that the use of a calculator would have made a difference in individual scores and might have resulted in a slightly higher rate of proficiency. </w:t>
      </w:r>
      <w:r w:rsidR="00C100EB">
        <w:rPr>
          <w:rFonts w:ascii="Times New Roman" w:hAnsi="Times New Roman" w:cs="Times New Roman"/>
          <w:sz w:val="24"/>
          <w:szCs w:val="24"/>
        </w:rPr>
        <w:t xml:space="preserve">Furthermore, the exam did focus to a great extent on calculations and not broader questions of using or interpreting mathematical day. Therefore, </w:t>
      </w:r>
      <w:r w:rsidR="00C100EB">
        <w:rPr>
          <w:rFonts w:ascii="Times New Roman" w:hAnsi="Times New Roman" w:cs="Times New Roman"/>
          <w:sz w:val="24"/>
          <w:szCs w:val="24"/>
        </w:rPr>
        <w:lastRenderedPageBreak/>
        <w:t>minor revisions will be made to the exam so that it includes more quantitative reasoning questions that involve the use of data and fewer questions that involve mathematical calculations.</w:t>
      </w:r>
    </w:p>
    <w:p w:rsidR="002A1983" w:rsidRDefault="00ED4DC4" w:rsidP="002A1983">
      <w:pPr>
        <w:rPr>
          <w:rFonts w:ascii="Times New Roman" w:hAnsi="Times New Roman" w:cs="Times New Roman"/>
          <w:sz w:val="24"/>
          <w:szCs w:val="24"/>
        </w:rPr>
      </w:pPr>
      <w:r>
        <w:rPr>
          <w:rFonts w:ascii="Times New Roman" w:hAnsi="Times New Roman" w:cs="Times New Roman"/>
          <w:sz w:val="24"/>
          <w:szCs w:val="24"/>
        </w:rPr>
        <w:t>It should be noted that additional support such as the increase</w:t>
      </w:r>
      <w:r w:rsidR="00EF4361">
        <w:rPr>
          <w:rFonts w:ascii="Times New Roman" w:hAnsi="Times New Roman" w:cs="Times New Roman"/>
          <w:sz w:val="24"/>
          <w:szCs w:val="24"/>
        </w:rPr>
        <w:t xml:space="preserve">d use of </w:t>
      </w:r>
      <w:r>
        <w:rPr>
          <w:rFonts w:ascii="Times New Roman" w:hAnsi="Times New Roman" w:cs="Times New Roman"/>
          <w:sz w:val="24"/>
          <w:szCs w:val="24"/>
        </w:rPr>
        <w:t>supplemental instruction</w:t>
      </w:r>
      <w:r w:rsidR="00EF4361">
        <w:rPr>
          <w:rFonts w:ascii="Times New Roman" w:hAnsi="Times New Roman" w:cs="Times New Roman"/>
          <w:sz w:val="24"/>
          <w:szCs w:val="24"/>
        </w:rPr>
        <w:t xml:space="preserve"> (peer assisted study sessions)</w:t>
      </w:r>
      <w:r w:rsidR="002D29FF">
        <w:rPr>
          <w:rFonts w:ascii="Times New Roman" w:hAnsi="Times New Roman" w:cs="Times New Roman"/>
          <w:sz w:val="24"/>
          <w:szCs w:val="24"/>
        </w:rPr>
        <w:t xml:space="preserve"> in math and statistics courses</w:t>
      </w:r>
      <w:r w:rsidR="00EF4361">
        <w:rPr>
          <w:rFonts w:ascii="Times New Roman" w:hAnsi="Times New Roman" w:cs="Times New Roman"/>
          <w:sz w:val="24"/>
          <w:szCs w:val="24"/>
        </w:rPr>
        <w:t xml:space="preserve"> and initiatives by the recently established College Advising Centers</w:t>
      </w:r>
      <w:r>
        <w:rPr>
          <w:rFonts w:ascii="Times New Roman" w:hAnsi="Times New Roman" w:cs="Times New Roman"/>
          <w:sz w:val="24"/>
          <w:szCs w:val="24"/>
        </w:rPr>
        <w:t xml:space="preserve"> </w:t>
      </w:r>
      <w:r w:rsidR="00EF4361">
        <w:rPr>
          <w:rFonts w:ascii="Times New Roman" w:hAnsi="Times New Roman" w:cs="Times New Roman"/>
          <w:sz w:val="24"/>
          <w:szCs w:val="24"/>
        </w:rPr>
        <w:t>have not been in place long enough to have a significant impact on graduating senior</w:t>
      </w:r>
      <w:r w:rsidR="000C65A8">
        <w:rPr>
          <w:rFonts w:ascii="Times New Roman" w:hAnsi="Times New Roman" w:cs="Times New Roman"/>
          <w:sz w:val="24"/>
          <w:szCs w:val="24"/>
        </w:rPr>
        <w:t xml:space="preserve">s. In conjunction with the recommendations of the CSU Quantitative Reasoning Task Force and the new academic preparation guidelines in Executive Order 1100, changes to the curriculum and support structure have been extensively discussed by faculty, a GE Task Force, and by the Dean of Undergraduate Studies and Vice-Provost. The Dean of Undergraduate Studies and the Department of Math have worked together to revise the GE </w:t>
      </w:r>
      <w:r w:rsidR="002D29FF">
        <w:rPr>
          <w:rFonts w:ascii="Times New Roman" w:hAnsi="Times New Roman" w:cs="Times New Roman"/>
          <w:sz w:val="24"/>
          <w:szCs w:val="24"/>
        </w:rPr>
        <w:t xml:space="preserve">quantitative reasoning </w:t>
      </w:r>
      <w:r w:rsidR="000C65A8">
        <w:rPr>
          <w:rFonts w:ascii="Times New Roman" w:hAnsi="Times New Roman" w:cs="Times New Roman"/>
          <w:sz w:val="24"/>
          <w:szCs w:val="24"/>
        </w:rPr>
        <w:t xml:space="preserve">curriculum and these changes have been approved and will go into effect during the 2018-2019 AY. </w:t>
      </w:r>
    </w:p>
    <w:p w:rsidR="000C65A8" w:rsidRDefault="000C65A8" w:rsidP="002A1983">
      <w:pPr>
        <w:rPr>
          <w:rFonts w:ascii="Times New Roman" w:hAnsi="Times New Roman" w:cs="Times New Roman"/>
          <w:sz w:val="24"/>
          <w:szCs w:val="24"/>
        </w:rPr>
      </w:pPr>
      <w:r>
        <w:rPr>
          <w:rFonts w:ascii="Times New Roman" w:hAnsi="Times New Roman" w:cs="Times New Roman"/>
          <w:sz w:val="24"/>
          <w:szCs w:val="24"/>
        </w:rPr>
        <w:t xml:space="preserve">Fresno State acknowledges that the quantitative reasoning results demonstrate a lack of student proficiency in quantitative reasoning and fully intends to disseminate the results and to take actions to address this issue. </w:t>
      </w:r>
      <w:r w:rsidR="00D83069">
        <w:rPr>
          <w:rFonts w:ascii="Times New Roman" w:hAnsi="Times New Roman" w:cs="Times New Roman"/>
          <w:sz w:val="24"/>
          <w:szCs w:val="24"/>
        </w:rPr>
        <w:t xml:space="preserve">The Director </w:t>
      </w:r>
      <w:r w:rsidR="002D29FF">
        <w:rPr>
          <w:rFonts w:ascii="Times New Roman" w:hAnsi="Times New Roman" w:cs="Times New Roman"/>
          <w:sz w:val="24"/>
          <w:szCs w:val="24"/>
        </w:rPr>
        <w:t>of Assessment will closely monitor</w:t>
      </w:r>
      <w:r w:rsidR="00D83069">
        <w:rPr>
          <w:rFonts w:ascii="Times New Roman" w:hAnsi="Times New Roman" w:cs="Times New Roman"/>
          <w:sz w:val="24"/>
          <w:szCs w:val="24"/>
        </w:rPr>
        <w:t xml:space="preserve"> the current changes to the math and GE curriculum and will ask analysts in the Office of Institutional Effectiveness to prepare a dashboard focused on pass rates in revised and new math and quantitative reasoning courses. The Director of Assessment will also give a quantitative reasoning exam</w:t>
      </w:r>
      <w:r w:rsidR="00B05930">
        <w:rPr>
          <w:rFonts w:ascii="Times New Roman" w:hAnsi="Times New Roman" w:cs="Times New Roman"/>
          <w:sz w:val="24"/>
          <w:szCs w:val="24"/>
        </w:rPr>
        <w:t xml:space="preserve">, during the 2019-2020 AY, </w:t>
      </w:r>
      <w:r w:rsidR="00D83069">
        <w:rPr>
          <w:rFonts w:ascii="Times New Roman" w:hAnsi="Times New Roman" w:cs="Times New Roman"/>
          <w:sz w:val="24"/>
          <w:szCs w:val="24"/>
        </w:rPr>
        <w:t xml:space="preserve">to a sample of students who have </w:t>
      </w:r>
      <w:r w:rsidR="00B05930">
        <w:rPr>
          <w:rFonts w:ascii="Times New Roman" w:hAnsi="Times New Roman" w:cs="Times New Roman"/>
          <w:sz w:val="24"/>
          <w:szCs w:val="24"/>
        </w:rPr>
        <w:t>taken the revised/new courses. The results of this “pilot” will be used to determine the level of student</w:t>
      </w:r>
      <w:r w:rsidR="006A059A">
        <w:rPr>
          <w:rFonts w:ascii="Times New Roman" w:hAnsi="Times New Roman" w:cs="Times New Roman"/>
          <w:sz w:val="24"/>
          <w:szCs w:val="24"/>
        </w:rPr>
        <w:t>’</w:t>
      </w:r>
      <w:r w:rsidR="00B05930">
        <w:rPr>
          <w:rFonts w:ascii="Times New Roman" w:hAnsi="Times New Roman" w:cs="Times New Roman"/>
          <w:sz w:val="24"/>
          <w:szCs w:val="24"/>
        </w:rPr>
        <w:t>s knowledge and skill in QR after the current changes have gone into effect. These results wil</w:t>
      </w:r>
      <w:r w:rsidR="002D29FF">
        <w:rPr>
          <w:rFonts w:ascii="Times New Roman" w:hAnsi="Times New Roman" w:cs="Times New Roman"/>
          <w:sz w:val="24"/>
          <w:szCs w:val="24"/>
        </w:rPr>
        <w:t>l determine if further should be</w:t>
      </w:r>
      <w:r w:rsidR="00B05930">
        <w:rPr>
          <w:rFonts w:ascii="Times New Roman" w:hAnsi="Times New Roman" w:cs="Times New Roman"/>
          <w:sz w:val="24"/>
          <w:szCs w:val="24"/>
        </w:rPr>
        <w:t xml:space="preserve"> taken before the QR is scheduled to be administered </w:t>
      </w:r>
      <w:r w:rsidR="00C1598B">
        <w:rPr>
          <w:rFonts w:ascii="Times New Roman" w:hAnsi="Times New Roman" w:cs="Times New Roman"/>
          <w:sz w:val="24"/>
          <w:szCs w:val="24"/>
        </w:rPr>
        <w:t>again during the 2024-2025</w:t>
      </w:r>
      <w:r w:rsidR="00B05930">
        <w:rPr>
          <w:rFonts w:ascii="Times New Roman" w:hAnsi="Times New Roman" w:cs="Times New Roman"/>
          <w:sz w:val="24"/>
          <w:szCs w:val="24"/>
        </w:rPr>
        <w:t>AY.</w:t>
      </w:r>
      <w:r>
        <w:rPr>
          <w:rFonts w:ascii="Times New Roman" w:hAnsi="Times New Roman" w:cs="Times New Roman"/>
          <w:sz w:val="24"/>
          <w:szCs w:val="24"/>
        </w:rPr>
        <w:t xml:space="preserve"> </w:t>
      </w:r>
    </w:p>
    <w:p w:rsidR="001C597E" w:rsidRDefault="001C597E">
      <w:pPr>
        <w:rPr>
          <w:rFonts w:ascii="Times New Roman" w:hAnsi="Times New Roman" w:cs="Times New Roman"/>
          <w:color w:val="808080" w:themeColor="background1" w:themeShade="80"/>
          <w:sz w:val="24"/>
          <w:szCs w:val="24"/>
        </w:rPr>
      </w:pPr>
    </w:p>
    <w:p w:rsidR="001C597E" w:rsidRDefault="001C597E">
      <w:pPr>
        <w:rPr>
          <w:rFonts w:ascii="Times New Roman" w:hAnsi="Times New Roman" w:cs="Times New Roman"/>
          <w:sz w:val="24"/>
          <w:szCs w:val="24"/>
        </w:rPr>
      </w:pPr>
    </w:p>
    <w:p w:rsidR="006724E6" w:rsidRDefault="006724E6">
      <w:pPr>
        <w:rPr>
          <w:rFonts w:ascii="Times New Roman" w:hAnsi="Times New Roman" w:cs="Times New Roman"/>
          <w:sz w:val="24"/>
          <w:szCs w:val="24"/>
        </w:rPr>
      </w:pPr>
    </w:p>
    <w:p w:rsidR="001C597E" w:rsidRDefault="001C597E">
      <w:pPr>
        <w:rPr>
          <w:rFonts w:ascii="Times New Roman" w:hAnsi="Times New Roman" w:cs="Times New Roman"/>
          <w:sz w:val="24"/>
          <w:szCs w:val="24"/>
        </w:rPr>
      </w:pPr>
    </w:p>
    <w:p w:rsidR="00B05930" w:rsidRDefault="00B05930">
      <w:pPr>
        <w:rPr>
          <w:rFonts w:ascii="Times New Roman" w:hAnsi="Times New Roman" w:cs="Times New Roman"/>
          <w:sz w:val="24"/>
          <w:szCs w:val="24"/>
        </w:rPr>
      </w:pPr>
    </w:p>
    <w:p w:rsidR="00B05930" w:rsidRDefault="00B05930">
      <w:pPr>
        <w:rPr>
          <w:rFonts w:ascii="Times New Roman" w:hAnsi="Times New Roman" w:cs="Times New Roman"/>
          <w:sz w:val="24"/>
          <w:szCs w:val="24"/>
        </w:rPr>
      </w:pPr>
    </w:p>
    <w:p w:rsidR="00B05930" w:rsidRDefault="00B05930">
      <w:pPr>
        <w:rPr>
          <w:rFonts w:ascii="Times New Roman" w:hAnsi="Times New Roman" w:cs="Times New Roman"/>
          <w:sz w:val="24"/>
          <w:szCs w:val="24"/>
        </w:rPr>
      </w:pPr>
    </w:p>
    <w:p w:rsidR="00B05930" w:rsidRDefault="00B05930">
      <w:pPr>
        <w:rPr>
          <w:rFonts w:ascii="Times New Roman" w:hAnsi="Times New Roman" w:cs="Times New Roman"/>
          <w:sz w:val="24"/>
          <w:szCs w:val="24"/>
        </w:rPr>
      </w:pPr>
    </w:p>
    <w:p w:rsidR="00B05930" w:rsidRDefault="00B05930">
      <w:pPr>
        <w:rPr>
          <w:rFonts w:ascii="Times New Roman" w:hAnsi="Times New Roman" w:cs="Times New Roman"/>
          <w:sz w:val="24"/>
          <w:szCs w:val="24"/>
        </w:rPr>
      </w:pPr>
    </w:p>
    <w:p w:rsidR="00C1598B" w:rsidRDefault="00C1598B">
      <w:pPr>
        <w:rPr>
          <w:rFonts w:ascii="Times New Roman" w:hAnsi="Times New Roman" w:cs="Times New Roman"/>
          <w:sz w:val="24"/>
          <w:szCs w:val="24"/>
        </w:rPr>
      </w:pPr>
    </w:p>
    <w:p w:rsidR="00C1598B" w:rsidRDefault="00C1598B">
      <w:pPr>
        <w:rPr>
          <w:rFonts w:ascii="Times New Roman" w:hAnsi="Times New Roman" w:cs="Times New Roman"/>
          <w:sz w:val="24"/>
          <w:szCs w:val="24"/>
        </w:rPr>
      </w:pPr>
    </w:p>
    <w:p w:rsidR="00B05930" w:rsidRDefault="00B05930">
      <w:pPr>
        <w:rPr>
          <w:rFonts w:ascii="Times New Roman" w:hAnsi="Times New Roman" w:cs="Times New Roman"/>
          <w:sz w:val="24"/>
          <w:szCs w:val="24"/>
        </w:rPr>
      </w:pPr>
    </w:p>
    <w:p w:rsidR="00F946DA" w:rsidRDefault="00F946DA">
      <w:pPr>
        <w:rPr>
          <w:rFonts w:ascii="Times New Roman" w:hAnsi="Times New Roman" w:cs="Times New Roman"/>
          <w:sz w:val="24"/>
          <w:szCs w:val="24"/>
        </w:rPr>
      </w:pPr>
      <w:bookmarkStart w:id="0" w:name="_GoBack"/>
      <w:bookmarkEnd w:id="0"/>
    </w:p>
    <w:p w:rsidR="00F946DA" w:rsidRDefault="00F946DA">
      <w:pPr>
        <w:rPr>
          <w:rFonts w:ascii="Times New Roman" w:hAnsi="Times New Roman" w:cs="Times New Roman"/>
          <w:sz w:val="24"/>
          <w:szCs w:val="24"/>
        </w:rPr>
      </w:pPr>
    </w:p>
    <w:p w:rsidR="00F946DA" w:rsidRDefault="00F946DA">
      <w:pPr>
        <w:rPr>
          <w:rFonts w:ascii="Times New Roman" w:hAnsi="Times New Roman" w:cs="Times New Roman"/>
          <w:sz w:val="24"/>
          <w:szCs w:val="24"/>
        </w:rPr>
      </w:pPr>
    </w:p>
    <w:p w:rsidR="00F946DA" w:rsidRPr="00F56895" w:rsidRDefault="00F946DA">
      <w:pPr>
        <w:rPr>
          <w:rFonts w:ascii="Times New Roman" w:hAnsi="Times New Roman" w:cs="Times New Roman"/>
          <w:sz w:val="24"/>
          <w:szCs w:val="24"/>
        </w:rPr>
      </w:pPr>
    </w:p>
    <w:sectPr w:rsidR="00F946DA" w:rsidRPr="00F56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20" w:rsidRDefault="001B7320" w:rsidP="00D34C33">
      <w:pPr>
        <w:spacing w:after="0" w:line="240" w:lineRule="auto"/>
      </w:pPr>
      <w:r>
        <w:separator/>
      </w:r>
    </w:p>
  </w:endnote>
  <w:endnote w:type="continuationSeparator" w:id="0">
    <w:p w:rsidR="001B7320" w:rsidRDefault="001B7320" w:rsidP="00D3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20" w:rsidRDefault="001B7320" w:rsidP="00D34C33">
      <w:pPr>
        <w:spacing w:after="0" w:line="240" w:lineRule="auto"/>
      </w:pPr>
      <w:r>
        <w:separator/>
      </w:r>
    </w:p>
  </w:footnote>
  <w:footnote w:type="continuationSeparator" w:id="0">
    <w:p w:rsidR="001B7320" w:rsidRDefault="001B7320" w:rsidP="00D34C33">
      <w:pPr>
        <w:spacing w:after="0" w:line="240" w:lineRule="auto"/>
      </w:pPr>
      <w:r>
        <w:continuationSeparator/>
      </w:r>
    </w:p>
  </w:footnote>
  <w:footnote w:id="1">
    <w:p w:rsidR="00D34C33" w:rsidRDefault="00D34C33">
      <w:pPr>
        <w:pStyle w:val="FootnoteText"/>
      </w:pPr>
      <w:r>
        <w:rPr>
          <w:rStyle w:val="FootnoteReference"/>
        </w:rPr>
        <w:footnoteRef/>
      </w:r>
      <w:r w:rsidR="00D41F52">
        <w:t xml:space="preserve"> Fresno State has seven schools and colleges that focus on undergraduate students and the quantitative </w:t>
      </w:r>
      <w:r w:rsidR="00811F7A">
        <w:t>reasoning exam was given in four</w:t>
      </w:r>
      <w:r w:rsidR="00D41F52">
        <w:t xml:space="preserve"> out of </w:t>
      </w:r>
      <w:r w:rsidR="00811F7A">
        <w:t>the seven (</w:t>
      </w:r>
      <w:r w:rsidR="00D41F52">
        <w:t>Social Sciences, Science and Math, Health and Human Services, and Engi</w:t>
      </w:r>
      <w:r w:rsidR="00C1598B">
        <w:t>neering) and the sample is</w:t>
      </w:r>
      <w:r w:rsidR="00D41F52">
        <w:t xml:space="preserve"> sufficiently representative of Fresno State students. The eighth school/college </w:t>
      </w:r>
      <w:r>
        <w:t>is the Kremen School of Education and Human Development and all of its programs and degrees, with the exception of liberal studies, are graduate</w:t>
      </w:r>
      <w:r w:rsidR="009A2BC9">
        <w:t xml:space="preserve"> programs</w:t>
      </w:r>
      <w:r w:rsidR="005314FA">
        <w:t>, which is why this college is</w:t>
      </w:r>
      <w:r>
        <w:t xml:space="preserve"> not directly involved in the </w:t>
      </w:r>
      <w:r w:rsidR="00DC1540">
        <w:t>process of</w:t>
      </w:r>
      <w:r>
        <w:t xml:space="preserve"> assess</w:t>
      </w:r>
      <w:r w:rsidR="00DC1540">
        <w:t>ing</w:t>
      </w:r>
      <w:r>
        <w:t xml:space="preserve"> undergraduate core competencies.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4D2"/>
    <w:multiLevelType w:val="hybridMultilevel"/>
    <w:tmpl w:val="94FC2C76"/>
    <w:lvl w:ilvl="0" w:tplc="1FB24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C3E6B"/>
    <w:multiLevelType w:val="hybridMultilevel"/>
    <w:tmpl w:val="09E6362C"/>
    <w:lvl w:ilvl="0" w:tplc="B590E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735A7"/>
    <w:multiLevelType w:val="hybridMultilevel"/>
    <w:tmpl w:val="DBB685BA"/>
    <w:lvl w:ilvl="0" w:tplc="586EE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6496"/>
    <w:multiLevelType w:val="hybridMultilevel"/>
    <w:tmpl w:val="93C8C444"/>
    <w:lvl w:ilvl="0" w:tplc="55D4F6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5D1338"/>
    <w:multiLevelType w:val="hybridMultilevel"/>
    <w:tmpl w:val="D12C2F6E"/>
    <w:lvl w:ilvl="0" w:tplc="4336E5A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36614A"/>
    <w:multiLevelType w:val="hybridMultilevel"/>
    <w:tmpl w:val="24BA3F9A"/>
    <w:lvl w:ilvl="0" w:tplc="100E2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E3C1F"/>
    <w:multiLevelType w:val="hybridMultilevel"/>
    <w:tmpl w:val="A2F2CF68"/>
    <w:lvl w:ilvl="0" w:tplc="706C6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EF0365"/>
    <w:multiLevelType w:val="hybridMultilevel"/>
    <w:tmpl w:val="6A0A6E7E"/>
    <w:lvl w:ilvl="0" w:tplc="2ECA79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A1666"/>
    <w:multiLevelType w:val="hybridMultilevel"/>
    <w:tmpl w:val="FA588480"/>
    <w:lvl w:ilvl="0" w:tplc="CEDC52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3AB2BBE"/>
    <w:multiLevelType w:val="hybridMultilevel"/>
    <w:tmpl w:val="9476E5EC"/>
    <w:lvl w:ilvl="0" w:tplc="2C0640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1775CA"/>
    <w:multiLevelType w:val="hybridMultilevel"/>
    <w:tmpl w:val="8E026A50"/>
    <w:lvl w:ilvl="0" w:tplc="F078B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C26443A">
      <w:start w:val="23"/>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812607"/>
    <w:multiLevelType w:val="hybridMultilevel"/>
    <w:tmpl w:val="89421066"/>
    <w:lvl w:ilvl="0" w:tplc="C2C49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4D67D8"/>
    <w:multiLevelType w:val="hybridMultilevel"/>
    <w:tmpl w:val="75E685C8"/>
    <w:lvl w:ilvl="0" w:tplc="FD904B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95F139E"/>
    <w:multiLevelType w:val="hybridMultilevel"/>
    <w:tmpl w:val="1BD2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720C2"/>
    <w:multiLevelType w:val="hybridMultilevel"/>
    <w:tmpl w:val="F7007A1E"/>
    <w:lvl w:ilvl="0" w:tplc="D4C875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
  </w:num>
  <w:num w:numId="3">
    <w:abstractNumId w:val="0"/>
  </w:num>
  <w:num w:numId="4">
    <w:abstractNumId w:val="11"/>
  </w:num>
  <w:num w:numId="5">
    <w:abstractNumId w:val="2"/>
  </w:num>
  <w:num w:numId="6">
    <w:abstractNumId w:val="10"/>
  </w:num>
  <w:num w:numId="7">
    <w:abstractNumId w:val="7"/>
  </w:num>
  <w:num w:numId="8">
    <w:abstractNumId w:val="6"/>
  </w:num>
  <w:num w:numId="9">
    <w:abstractNumId w:val="3"/>
  </w:num>
  <w:num w:numId="10">
    <w:abstractNumId w:val="14"/>
  </w:num>
  <w:num w:numId="11">
    <w:abstractNumId w:val="12"/>
  </w:num>
  <w:num w:numId="12">
    <w:abstractNumId w:val="8"/>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95"/>
    <w:rsid w:val="0004749C"/>
    <w:rsid w:val="000530B0"/>
    <w:rsid w:val="0008059C"/>
    <w:rsid w:val="000C65A8"/>
    <w:rsid w:val="001A7046"/>
    <w:rsid w:val="001A7F74"/>
    <w:rsid w:val="001B7320"/>
    <w:rsid w:val="001C597E"/>
    <w:rsid w:val="001C62AE"/>
    <w:rsid w:val="001D2248"/>
    <w:rsid w:val="001F2097"/>
    <w:rsid w:val="00212CF4"/>
    <w:rsid w:val="00251258"/>
    <w:rsid w:val="002568F2"/>
    <w:rsid w:val="002A1983"/>
    <w:rsid w:val="002D29FF"/>
    <w:rsid w:val="00381B32"/>
    <w:rsid w:val="00415CBB"/>
    <w:rsid w:val="00443D21"/>
    <w:rsid w:val="004C79FD"/>
    <w:rsid w:val="004D631C"/>
    <w:rsid w:val="005314FA"/>
    <w:rsid w:val="005B02D3"/>
    <w:rsid w:val="005C1A52"/>
    <w:rsid w:val="005C1F0B"/>
    <w:rsid w:val="0062126A"/>
    <w:rsid w:val="00655D8B"/>
    <w:rsid w:val="006724E6"/>
    <w:rsid w:val="006A059A"/>
    <w:rsid w:val="006E7D4A"/>
    <w:rsid w:val="00722040"/>
    <w:rsid w:val="00773717"/>
    <w:rsid w:val="00790E79"/>
    <w:rsid w:val="00796B91"/>
    <w:rsid w:val="007B23EA"/>
    <w:rsid w:val="007F3AB7"/>
    <w:rsid w:val="007F71B6"/>
    <w:rsid w:val="00811F7A"/>
    <w:rsid w:val="00855B1C"/>
    <w:rsid w:val="008C3E9B"/>
    <w:rsid w:val="00921DBA"/>
    <w:rsid w:val="009A2BC9"/>
    <w:rsid w:val="009A61FD"/>
    <w:rsid w:val="00A75FA4"/>
    <w:rsid w:val="00AC594F"/>
    <w:rsid w:val="00AE13E9"/>
    <w:rsid w:val="00B05930"/>
    <w:rsid w:val="00B24680"/>
    <w:rsid w:val="00B34A25"/>
    <w:rsid w:val="00BF3925"/>
    <w:rsid w:val="00C06D47"/>
    <w:rsid w:val="00C100EB"/>
    <w:rsid w:val="00C1598B"/>
    <w:rsid w:val="00C53BE2"/>
    <w:rsid w:val="00D34C33"/>
    <w:rsid w:val="00D41F52"/>
    <w:rsid w:val="00D82EE4"/>
    <w:rsid w:val="00D83069"/>
    <w:rsid w:val="00DC1540"/>
    <w:rsid w:val="00DE1C46"/>
    <w:rsid w:val="00E67230"/>
    <w:rsid w:val="00E82E05"/>
    <w:rsid w:val="00E86183"/>
    <w:rsid w:val="00EA50E9"/>
    <w:rsid w:val="00ED196F"/>
    <w:rsid w:val="00ED4DC4"/>
    <w:rsid w:val="00EF4361"/>
    <w:rsid w:val="00F56895"/>
    <w:rsid w:val="00F65B7A"/>
    <w:rsid w:val="00F75E78"/>
    <w:rsid w:val="00F946DA"/>
    <w:rsid w:val="00F9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0C13"/>
  <w15:chartTrackingRefBased/>
  <w15:docId w15:val="{F25996BF-285C-494F-BCA4-EDFABF8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C33"/>
    <w:rPr>
      <w:sz w:val="20"/>
      <w:szCs w:val="20"/>
    </w:rPr>
  </w:style>
  <w:style w:type="character" w:styleId="FootnoteReference">
    <w:name w:val="footnote reference"/>
    <w:basedOn w:val="DefaultParagraphFont"/>
    <w:uiPriority w:val="99"/>
    <w:semiHidden/>
    <w:unhideWhenUsed/>
    <w:rsid w:val="00D34C33"/>
    <w:rPr>
      <w:vertAlign w:val="superscript"/>
    </w:rPr>
  </w:style>
  <w:style w:type="paragraph" w:styleId="ListParagraph">
    <w:name w:val="List Paragraph"/>
    <w:basedOn w:val="Normal"/>
    <w:uiPriority w:val="34"/>
    <w:qFormat/>
    <w:rsid w:val="001C597E"/>
    <w:pPr>
      <w:ind w:left="720"/>
      <w:contextualSpacing/>
    </w:pPr>
  </w:style>
  <w:style w:type="table" w:styleId="TableGrid">
    <w:name w:val="Table Grid"/>
    <w:basedOn w:val="TableNormal"/>
    <w:uiPriority w:val="39"/>
    <w:rsid w:val="001C5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597E"/>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Quantitative Reasoning Results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31-4302-A04C-B738D7844A5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31-4302-A04C-B738D7844A57}"/>
              </c:ext>
            </c:extLst>
          </c:dPt>
          <c:cat>
            <c:strRef>
              <c:f>Sheet1!$A$2:$A$5</c:f>
              <c:strCache>
                <c:ptCount val="2"/>
                <c:pt idx="0">
                  <c:v>Proficient</c:v>
                </c:pt>
                <c:pt idx="1">
                  <c:v>Not Proficient</c:v>
                </c:pt>
              </c:strCache>
            </c:strRef>
          </c:cat>
          <c:val>
            <c:numRef>
              <c:f>Sheet1!$B$2:$B$5</c:f>
              <c:numCache>
                <c:formatCode>0%</c:formatCode>
                <c:ptCount val="2"/>
                <c:pt idx="0">
                  <c:v>0.51</c:v>
                </c:pt>
                <c:pt idx="1">
                  <c:v>0.49</c:v>
                </c:pt>
              </c:numCache>
            </c:numRef>
          </c:val>
          <c:extLst>
            <c:ext xmlns:c16="http://schemas.microsoft.com/office/drawing/2014/chart" uri="{C3380CC4-5D6E-409C-BE32-E72D297353CC}">
              <c16:uniqueId val="{00000004-F031-4302-A04C-B738D7844A5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Quantitative</a:t>
            </a:r>
            <a:r>
              <a:rPr lang="en-US" baseline="0"/>
              <a:t> Reasoning Exam Results</a:t>
            </a:r>
          </a:p>
          <a:p>
            <a:pPr>
              <a:defRPr/>
            </a:pPr>
            <a:r>
              <a:rPr lang="en-US" baseline="0"/>
              <a:t>Disaggregated</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Proficient</c:v>
                </c:pt>
              </c:strCache>
            </c:strRef>
          </c:tx>
          <c:spPr>
            <a:solidFill>
              <a:srgbClr val="0070C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Men</c:v>
                </c:pt>
                <c:pt idx="1">
                  <c:v>Women</c:v>
                </c:pt>
                <c:pt idx="2">
                  <c:v>1st Generation</c:v>
                </c:pt>
                <c:pt idx="3">
                  <c:v>Continuing Generation</c:v>
                </c:pt>
                <c:pt idx="4">
                  <c:v>URM</c:v>
                </c:pt>
                <c:pt idx="5">
                  <c:v>White Students</c:v>
                </c:pt>
              </c:strCache>
            </c:strRef>
          </c:cat>
          <c:val>
            <c:numRef>
              <c:f>Sheet1!$B$2:$B$7</c:f>
              <c:numCache>
                <c:formatCode>0%</c:formatCode>
                <c:ptCount val="6"/>
                <c:pt idx="0">
                  <c:v>0.6</c:v>
                </c:pt>
                <c:pt idx="1">
                  <c:v>0.39</c:v>
                </c:pt>
                <c:pt idx="2">
                  <c:v>0.38</c:v>
                </c:pt>
                <c:pt idx="3">
                  <c:v>0.68</c:v>
                </c:pt>
                <c:pt idx="4">
                  <c:v>0.43</c:v>
                </c:pt>
                <c:pt idx="5">
                  <c:v>0.61</c:v>
                </c:pt>
              </c:numCache>
            </c:numRef>
          </c:val>
          <c:extLst>
            <c:ext xmlns:c16="http://schemas.microsoft.com/office/drawing/2014/chart" uri="{C3380CC4-5D6E-409C-BE32-E72D297353CC}">
              <c16:uniqueId val="{00000000-9260-4B0B-A526-8381DF38EFB6}"/>
            </c:ext>
          </c:extLst>
        </c:ser>
        <c:ser>
          <c:idx val="1"/>
          <c:order val="1"/>
          <c:tx>
            <c:strRef>
              <c:f>Sheet1!$C$1</c:f>
              <c:strCache>
                <c:ptCount val="1"/>
                <c:pt idx="0">
                  <c:v>Not Proficient</c:v>
                </c:pt>
              </c:strCache>
            </c:strRef>
          </c:tx>
          <c:spPr>
            <a:solidFill>
              <a:srgbClr val="C00000">
                <a:alpha val="85000"/>
              </a:srgbClr>
            </a:solidFill>
            <a:ln w="9525" cap="flat" cmpd="sng" algn="ctr">
              <a:solidFill>
                <a:srgbClr val="C00000">
                  <a:alpha val="50000"/>
                </a:srgb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Men</c:v>
                </c:pt>
                <c:pt idx="1">
                  <c:v>Women</c:v>
                </c:pt>
                <c:pt idx="2">
                  <c:v>1st Generation</c:v>
                </c:pt>
                <c:pt idx="3">
                  <c:v>Continuing Generation</c:v>
                </c:pt>
                <c:pt idx="4">
                  <c:v>URM</c:v>
                </c:pt>
                <c:pt idx="5">
                  <c:v>White Students</c:v>
                </c:pt>
              </c:strCache>
            </c:strRef>
          </c:cat>
          <c:val>
            <c:numRef>
              <c:f>Sheet1!$C$2:$C$7</c:f>
              <c:numCache>
                <c:formatCode>0%</c:formatCode>
                <c:ptCount val="6"/>
                <c:pt idx="0">
                  <c:v>0.4</c:v>
                </c:pt>
                <c:pt idx="1">
                  <c:v>0.61</c:v>
                </c:pt>
                <c:pt idx="2">
                  <c:v>0.62</c:v>
                </c:pt>
                <c:pt idx="3">
                  <c:v>0.32</c:v>
                </c:pt>
                <c:pt idx="4">
                  <c:v>0.56999999999999995</c:v>
                </c:pt>
                <c:pt idx="5">
                  <c:v>0.39</c:v>
                </c:pt>
              </c:numCache>
            </c:numRef>
          </c:val>
          <c:extLst>
            <c:ext xmlns:c16="http://schemas.microsoft.com/office/drawing/2014/chart" uri="{C3380CC4-5D6E-409C-BE32-E72D297353CC}">
              <c16:uniqueId val="{00000001-9260-4B0B-A526-8381DF38EFB6}"/>
            </c:ext>
          </c:extLst>
        </c:ser>
        <c:dLbls>
          <c:dLblPos val="inEnd"/>
          <c:showLegendKey val="0"/>
          <c:showVal val="1"/>
          <c:showCatName val="0"/>
          <c:showSerName val="0"/>
          <c:showPercent val="0"/>
          <c:showBubbleSize val="0"/>
        </c:dLbls>
        <c:gapWidth val="65"/>
        <c:axId val="1389573471"/>
        <c:axId val="1389581375"/>
      </c:barChart>
      <c:catAx>
        <c:axId val="138957347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89581375"/>
        <c:crosses val="autoZero"/>
        <c:auto val="1"/>
        <c:lblAlgn val="ctr"/>
        <c:lblOffset val="100"/>
        <c:noMultiLvlLbl val="0"/>
      </c:catAx>
      <c:valAx>
        <c:axId val="13895813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89573471"/>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11CA-C619-4012-AF29-0CE90A96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2018-09-03T18:07:00Z</dcterms:created>
  <dcterms:modified xsi:type="dcterms:W3CDTF">2018-09-03T18:07:00Z</dcterms:modified>
</cp:coreProperties>
</file>